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2587" w14:textId="77777777" w:rsidR="00285A6D" w:rsidRPr="00963938" w:rsidRDefault="00285A6D" w:rsidP="00285A6D">
      <w:pPr>
        <w:spacing w:line="280" w:lineRule="exact"/>
        <w:rPr>
          <w:rFonts w:ascii="Arial" w:hAnsi="Arial" w:cs="Arial"/>
        </w:rPr>
      </w:pPr>
    </w:p>
    <w:p w14:paraId="43D78BE0" w14:textId="77777777" w:rsidR="00285A6D" w:rsidRPr="00963938" w:rsidRDefault="00285A6D" w:rsidP="002405D8">
      <w:pPr>
        <w:spacing w:line="240" w:lineRule="auto"/>
        <w:rPr>
          <w:rFonts w:ascii="Arial" w:hAnsi="Arial" w:cs="Arial"/>
          <w:b/>
        </w:rPr>
      </w:pPr>
    </w:p>
    <w:p w14:paraId="3F1DF66D" w14:textId="1ABF916A" w:rsidR="00285A6D" w:rsidRPr="00963938" w:rsidRDefault="002405D8" w:rsidP="002405D8">
      <w:pPr>
        <w:tabs>
          <w:tab w:val="left" w:pos="1110"/>
        </w:tabs>
        <w:spacing w:line="240" w:lineRule="auto"/>
        <w:ind w:left="360"/>
        <w:rPr>
          <w:rFonts w:ascii="Arial" w:hAnsi="Arial" w:cs="Arial"/>
        </w:rPr>
      </w:pPr>
      <w:r>
        <w:rPr>
          <w:noProof/>
        </w:rPr>
        <w:drawing>
          <wp:inline distT="0" distB="0" distL="0" distR="0" wp14:anchorId="423A4B73" wp14:editId="516D609B">
            <wp:extent cx="3015356" cy="1228725"/>
            <wp:effectExtent l="0" t="0" r="0" b="0"/>
            <wp:docPr id="102436921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69219" name="Picture 1" descr="A black background with a black squar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1575" cy="1239409"/>
                    </a:xfrm>
                    <a:prstGeom prst="rect">
                      <a:avLst/>
                    </a:prstGeom>
                    <a:noFill/>
                    <a:ln>
                      <a:noFill/>
                    </a:ln>
                  </pic:spPr>
                </pic:pic>
              </a:graphicData>
            </a:graphic>
          </wp:inline>
        </w:drawing>
      </w:r>
    </w:p>
    <w:p w14:paraId="7B839C92" w14:textId="07B27943" w:rsidR="00285A6D" w:rsidRDefault="00285A6D" w:rsidP="00285A6D">
      <w:pPr>
        <w:tabs>
          <w:tab w:val="left" w:pos="1110"/>
        </w:tabs>
        <w:spacing w:line="280" w:lineRule="exact"/>
        <w:ind w:left="709" w:firstLine="360"/>
        <w:rPr>
          <w:rFonts w:ascii="Arial" w:hAnsi="Arial" w:cs="Arial"/>
        </w:rPr>
      </w:pPr>
    </w:p>
    <w:p w14:paraId="64E2B716" w14:textId="6896A639" w:rsidR="00EB663A" w:rsidRDefault="00EB663A" w:rsidP="00285A6D">
      <w:pPr>
        <w:tabs>
          <w:tab w:val="left" w:pos="1110"/>
        </w:tabs>
        <w:spacing w:line="280" w:lineRule="exact"/>
        <w:ind w:left="709" w:firstLine="360"/>
        <w:rPr>
          <w:rFonts w:ascii="Arial" w:hAnsi="Arial" w:cs="Arial"/>
        </w:rPr>
      </w:pPr>
    </w:p>
    <w:p w14:paraId="7673D3BC" w14:textId="548EDD3D" w:rsidR="00EB663A" w:rsidRDefault="00EB663A" w:rsidP="00285A6D">
      <w:pPr>
        <w:tabs>
          <w:tab w:val="left" w:pos="1110"/>
        </w:tabs>
        <w:spacing w:line="280" w:lineRule="exact"/>
        <w:ind w:left="709" w:firstLine="360"/>
        <w:rPr>
          <w:rFonts w:ascii="Arial" w:hAnsi="Arial" w:cs="Arial"/>
        </w:rPr>
      </w:pPr>
    </w:p>
    <w:p w14:paraId="07CA5670" w14:textId="7862C207" w:rsidR="00EB663A" w:rsidRDefault="00EB663A" w:rsidP="00285A6D">
      <w:pPr>
        <w:tabs>
          <w:tab w:val="left" w:pos="1110"/>
        </w:tabs>
        <w:spacing w:line="280" w:lineRule="exact"/>
        <w:ind w:left="709" w:firstLine="360"/>
        <w:rPr>
          <w:rFonts w:ascii="Arial" w:hAnsi="Arial" w:cs="Arial"/>
        </w:rPr>
      </w:pPr>
    </w:p>
    <w:p w14:paraId="7FBA8159" w14:textId="77777777" w:rsidR="00EB663A" w:rsidRPr="00963938" w:rsidRDefault="00EB663A" w:rsidP="00285A6D">
      <w:pPr>
        <w:tabs>
          <w:tab w:val="left" w:pos="1110"/>
        </w:tabs>
        <w:spacing w:line="280" w:lineRule="exact"/>
        <w:ind w:left="709" w:firstLine="360"/>
        <w:rPr>
          <w:rFonts w:ascii="Arial" w:hAnsi="Arial" w:cs="Arial"/>
        </w:rPr>
      </w:pPr>
    </w:p>
    <w:p w14:paraId="031A793D" w14:textId="76EE57B1" w:rsidR="00285A6D" w:rsidRDefault="00285A6D" w:rsidP="00285A6D">
      <w:pPr>
        <w:spacing w:line="280" w:lineRule="exact"/>
        <w:rPr>
          <w:rFonts w:ascii="Arial" w:hAnsi="Arial" w:cs="Arial"/>
        </w:rPr>
      </w:pPr>
    </w:p>
    <w:p w14:paraId="30A7107F" w14:textId="1430AC6F" w:rsidR="00EB663A" w:rsidRDefault="00EB663A" w:rsidP="00285A6D">
      <w:pPr>
        <w:spacing w:line="280" w:lineRule="exact"/>
        <w:rPr>
          <w:rFonts w:ascii="Arial" w:hAnsi="Arial" w:cs="Arial"/>
        </w:rPr>
      </w:pPr>
    </w:p>
    <w:p w14:paraId="1BDE26F6" w14:textId="77777777" w:rsidR="000B621C" w:rsidRDefault="000B621C" w:rsidP="00EB663A">
      <w:pPr>
        <w:autoSpaceDE w:val="0"/>
        <w:autoSpaceDN w:val="0"/>
        <w:adjustRightInd w:val="0"/>
        <w:spacing w:line="280" w:lineRule="exact"/>
        <w:rPr>
          <w:rFonts w:ascii="Arial" w:hAnsi="Arial" w:cs="Arial"/>
          <w:b/>
          <w:bCs/>
          <w:sz w:val="30"/>
          <w:szCs w:val="30"/>
        </w:rPr>
      </w:pPr>
    </w:p>
    <w:p w14:paraId="168F448E" w14:textId="77777777" w:rsidR="000B621C" w:rsidRDefault="000B621C" w:rsidP="00EB663A">
      <w:pPr>
        <w:autoSpaceDE w:val="0"/>
        <w:autoSpaceDN w:val="0"/>
        <w:adjustRightInd w:val="0"/>
        <w:spacing w:line="280" w:lineRule="exact"/>
        <w:rPr>
          <w:rFonts w:ascii="Arial" w:hAnsi="Arial" w:cs="Arial"/>
          <w:b/>
          <w:bCs/>
          <w:sz w:val="30"/>
          <w:szCs w:val="30"/>
        </w:rPr>
      </w:pPr>
    </w:p>
    <w:p w14:paraId="3B877165" w14:textId="77777777" w:rsidR="000B621C" w:rsidRDefault="000B621C" w:rsidP="00EB663A">
      <w:pPr>
        <w:autoSpaceDE w:val="0"/>
        <w:autoSpaceDN w:val="0"/>
        <w:adjustRightInd w:val="0"/>
        <w:spacing w:line="280" w:lineRule="exact"/>
        <w:rPr>
          <w:rFonts w:ascii="Arial" w:hAnsi="Arial" w:cs="Arial"/>
          <w:b/>
          <w:bCs/>
          <w:sz w:val="30"/>
          <w:szCs w:val="30"/>
        </w:rPr>
      </w:pPr>
    </w:p>
    <w:p w14:paraId="03AF31FE" w14:textId="1145BD9A" w:rsidR="00EB663A" w:rsidRPr="000B621C" w:rsidRDefault="00EB663A" w:rsidP="00EB663A">
      <w:pPr>
        <w:autoSpaceDE w:val="0"/>
        <w:autoSpaceDN w:val="0"/>
        <w:adjustRightInd w:val="0"/>
        <w:spacing w:line="280" w:lineRule="exact"/>
        <w:rPr>
          <w:rFonts w:ascii="Arial" w:hAnsi="Arial" w:cs="Arial"/>
          <w:b/>
          <w:bCs/>
          <w:sz w:val="30"/>
          <w:szCs w:val="30"/>
        </w:rPr>
      </w:pPr>
      <w:r w:rsidRPr="000B621C">
        <w:rPr>
          <w:rFonts w:ascii="Arial" w:hAnsi="Arial" w:cs="Arial"/>
          <w:b/>
          <w:bCs/>
          <w:sz w:val="30"/>
          <w:szCs w:val="30"/>
        </w:rPr>
        <w:t>INVESTMENT POLICY</w:t>
      </w:r>
    </w:p>
    <w:p w14:paraId="731D7CE4" w14:textId="77777777" w:rsidR="00EB663A" w:rsidRPr="003C4869" w:rsidRDefault="00EB663A" w:rsidP="00EB663A">
      <w:pPr>
        <w:spacing w:line="280" w:lineRule="exact"/>
        <w:rPr>
          <w:rFonts w:cs="Arial"/>
          <w:b/>
          <w:sz w:val="32"/>
          <w:szCs w:val="32"/>
        </w:rPr>
      </w:pPr>
    </w:p>
    <w:p w14:paraId="4D4D29B1" w14:textId="77777777" w:rsidR="00EB663A" w:rsidRPr="003C4869" w:rsidRDefault="00EB663A" w:rsidP="00EB663A">
      <w:pPr>
        <w:autoSpaceDE w:val="0"/>
        <w:autoSpaceDN w:val="0"/>
        <w:adjustRightInd w:val="0"/>
        <w:spacing w:line="280" w:lineRule="exact"/>
        <w:rPr>
          <w:rFonts w:cs="Arial"/>
          <w:b/>
          <w:bCs/>
        </w:rPr>
      </w:pPr>
    </w:p>
    <w:p w14:paraId="244556AD" w14:textId="77777777" w:rsidR="00EB663A" w:rsidRPr="003C4869" w:rsidRDefault="00EB663A" w:rsidP="00EB663A">
      <w:pPr>
        <w:autoSpaceDE w:val="0"/>
        <w:autoSpaceDN w:val="0"/>
        <w:adjustRightInd w:val="0"/>
        <w:spacing w:line="280" w:lineRule="exact"/>
        <w:rPr>
          <w:rFonts w:cs="Arial"/>
          <w:b/>
          <w:bCs/>
        </w:rPr>
      </w:pPr>
    </w:p>
    <w:p w14:paraId="131AE97E" w14:textId="77777777" w:rsidR="00EB663A" w:rsidRPr="003C4869" w:rsidRDefault="00EB663A" w:rsidP="00EB663A">
      <w:pPr>
        <w:autoSpaceDE w:val="0"/>
        <w:autoSpaceDN w:val="0"/>
        <w:adjustRightInd w:val="0"/>
        <w:spacing w:line="280" w:lineRule="exact"/>
        <w:rPr>
          <w:rFonts w:cs="Arial"/>
          <w:b/>
          <w:bCs/>
        </w:rPr>
      </w:pPr>
    </w:p>
    <w:p w14:paraId="0A7C348F" w14:textId="77777777" w:rsidR="00EB663A" w:rsidRPr="003C4869" w:rsidRDefault="00EB663A" w:rsidP="00EB663A">
      <w:pPr>
        <w:autoSpaceDE w:val="0"/>
        <w:autoSpaceDN w:val="0"/>
        <w:adjustRightInd w:val="0"/>
        <w:spacing w:line="280" w:lineRule="exact"/>
        <w:rPr>
          <w:rFonts w:ascii="Arial,Bold" w:hAnsi="Arial,Bold" w:cs="Arial,Bold"/>
          <w:b/>
          <w:bCs/>
        </w:rPr>
      </w:pPr>
    </w:p>
    <w:p w14:paraId="59F904C0" w14:textId="77777777" w:rsidR="00EB663A" w:rsidRPr="003C4869" w:rsidRDefault="00EB663A" w:rsidP="00EB663A">
      <w:pPr>
        <w:autoSpaceDE w:val="0"/>
        <w:autoSpaceDN w:val="0"/>
        <w:adjustRightInd w:val="0"/>
        <w:spacing w:line="280" w:lineRule="exact"/>
        <w:rPr>
          <w:rFonts w:ascii="Arial,Bold" w:hAnsi="Arial,Bold" w:cs="Arial,Bold"/>
          <w:b/>
          <w:bCs/>
        </w:rPr>
      </w:pPr>
    </w:p>
    <w:p w14:paraId="4138196F" w14:textId="77777777" w:rsidR="00EB663A" w:rsidRPr="003C4869" w:rsidRDefault="00EB663A" w:rsidP="00EB663A">
      <w:pPr>
        <w:autoSpaceDE w:val="0"/>
        <w:autoSpaceDN w:val="0"/>
        <w:adjustRightInd w:val="0"/>
        <w:spacing w:line="280" w:lineRule="exact"/>
        <w:rPr>
          <w:rFonts w:ascii="Arial,Bold" w:hAnsi="Arial,Bold" w:cs="Arial,Bold"/>
          <w:b/>
          <w:bCs/>
        </w:rPr>
      </w:pPr>
    </w:p>
    <w:p w14:paraId="5ADC11CB" w14:textId="77777777" w:rsidR="00EB663A" w:rsidRPr="003C4869" w:rsidRDefault="00EB663A" w:rsidP="00EB663A">
      <w:pPr>
        <w:autoSpaceDE w:val="0"/>
        <w:autoSpaceDN w:val="0"/>
        <w:adjustRightInd w:val="0"/>
        <w:spacing w:line="280" w:lineRule="exact"/>
        <w:rPr>
          <w:rFonts w:ascii="Arial,Bold" w:hAnsi="Arial,Bold" w:cs="Arial,Bold"/>
          <w:b/>
          <w:bCs/>
          <w:sz w:val="32"/>
          <w:szCs w:val="32"/>
        </w:rPr>
      </w:pPr>
    </w:p>
    <w:p w14:paraId="47A3829F" w14:textId="38C1E4F9" w:rsidR="00EB663A" w:rsidRDefault="00EB663A" w:rsidP="00EB663A">
      <w:pPr>
        <w:autoSpaceDE w:val="0"/>
        <w:autoSpaceDN w:val="0"/>
        <w:adjustRightInd w:val="0"/>
        <w:spacing w:line="280" w:lineRule="exact"/>
        <w:rPr>
          <w:rFonts w:ascii="Arial,Bold" w:hAnsi="Arial,Bold" w:cs="Arial,Bold"/>
          <w:b/>
          <w:bCs/>
          <w:sz w:val="32"/>
          <w:szCs w:val="32"/>
        </w:rPr>
      </w:pPr>
      <w:r>
        <w:rPr>
          <w:rFonts w:ascii="Arial,Bold" w:hAnsi="Arial,Bold" w:cs="Arial,Bold"/>
          <w:b/>
          <w:bCs/>
          <w:sz w:val="32"/>
          <w:szCs w:val="32"/>
        </w:rPr>
        <w:tab/>
      </w:r>
      <w:r>
        <w:rPr>
          <w:rFonts w:ascii="Arial,Bold" w:hAnsi="Arial,Bold" w:cs="Arial,Bold"/>
          <w:b/>
          <w:bCs/>
          <w:sz w:val="32"/>
          <w:szCs w:val="32"/>
        </w:rPr>
        <w:tab/>
      </w:r>
      <w:r>
        <w:rPr>
          <w:rFonts w:ascii="Arial,Bold" w:hAnsi="Arial,Bold" w:cs="Arial,Bold"/>
          <w:b/>
          <w:bCs/>
          <w:sz w:val="32"/>
          <w:szCs w:val="32"/>
        </w:rPr>
        <w:tab/>
      </w:r>
      <w:r>
        <w:rPr>
          <w:rFonts w:ascii="Arial,Bold" w:hAnsi="Arial,Bold" w:cs="Arial,Bold"/>
          <w:b/>
          <w:bCs/>
          <w:sz w:val="32"/>
          <w:szCs w:val="32"/>
        </w:rPr>
        <w:tab/>
      </w:r>
      <w:r>
        <w:rPr>
          <w:rFonts w:ascii="Arial,Bold" w:hAnsi="Arial,Bold" w:cs="Arial,Bold"/>
          <w:b/>
          <w:bCs/>
          <w:sz w:val="32"/>
          <w:szCs w:val="32"/>
        </w:rPr>
        <w:tab/>
      </w:r>
      <w:r>
        <w:rPr>
          <w:rFonts w:ascii="Arial,Bold" w:hAnsi="Arial,Bold" w:cs="Arial,Bold"/>
          <w:b/>
          <w:bCs/>
          <w:sz w:val="32"/>
          <w:szCs w:val="32"/>
        </w:rPr>
        <w:tab/>
      </w:r>
      <w:r>
        <w:rPr>
          <w:rFonts w:ascii="Arial,Bold" w:hAnsi="Arial,Bold" w:cs="Arial,Bold"/>
          <w:b/>
          <w:bCs/>
          <w:sz w:val="32"/>
          <w:szCs w:val="32"/>
        </w:rPr>
        <w:tab/>
      </w:r>
      <w:r>
        <w:rPr>
          <w:rFonts w:ascii="Arial,Bold" w:hAnsi="Arial,Bold" w:cs="Arial,Bold"/>
          <w:b/>
          <w:bCs/>
          <w:sz w:val="32"/>
          <w:szCs w:val="32"/>
        </w:rPr>
        <w:tab/>
      </w:r>
      <w:r>
        <w:rPr>
          <w:rFonts w:ascii="Arial,Bold" w:hAnsi="Arial,Bold" w:cs="Arial,Bold"/>
          <w:b/>
          <w:bCs/>
          <w:sz w:val="32"/>
          <w:szCs w:val="32"/>
        </w:rPr>
        <w:tab/>
      </w:r>
      <w:r>
        <w:rPr>
          <w:rFonts w:ascii="Arial,Bold" w:hAnsi="Arial,Bold" w:cs="Arial,Bold"/>
          <w:b/>
          <w:bCs/>
          <w:sz w:val="32"/>
          <w:szCs w:val="32"/>
        </w:rPr>
        <w:tab/>
      </w:r>
      <w:r w:rsidRPr="007C445E">
        <w:rPr>
          <w:rFonts w:ascii="Arial,Bold" w:hAnsi="Arial,Bold" w:cs="Arial,Bold"/>
          <w:b/>
          <w:bCs/>
          <w:sz w:val="28"/>
          <w:szCs w:val="28"/>
        </w:rPr>
        <w:tab/>
      </w:r>
      <w:r>
        <w:rPr>
          <w:rFonts w:ascii="Arial,Bold" w:hAnsi="Arial,Bold" w:cs="Arial,Bold"/>
          <w:b/>
          <w:bCs/>
          <w:sz w:val="28"/>
          <w:szCs w:val="28"/>
        </w:rPr>
        <w:tab/>
      </w:r>
      <w:r>
        <w:rPr>
          <w:rFonts w:ascii="Arial,Bold" w:hAnsi="Arial,Bold" w:cs="Arial,Bold"/>
          <w:b/>
          <w:bCs/>
          <w:sz w:val="28"/>
          <w:szCs w:val="28"/>
        </w:rPr>
        <w:tab/>
      </w:r>
      <w:r>
        <w:rPr>
          <w:rFonts w:ascii="Arial,Bold" w:hAnsi="Arial,Bold" w:cs="Arial,Bold"/>
          <w:b/>
          <w:bCs/>
          <w:sz w:val="28"/>
          <w:szCs w:val="28"/>
        </w:rPr>
        <w:tab/>
      </w:r>
      <w:r>
        <w:rPr>
          <w:rFonts w:ascii="Arial,Bold" w:hAnsi="Arial,Bold" w:cs="Arial,Bold"/>
          <w:b/>
          <w:bCs/>
          <w:sz w:val="28"/>
          <w:szCs w:val="28"/>
        </w:rPr>
        <w:tab/>
      </w:r>
      <w:r>
        <w:rPr>
          <w:rFonts w:ascii="Arial,Bold" w:hAnsi="Arial,Bold" w:cs="Arial,Bold"/>
          <w:b/>
          <w:bCs/>
          <w:sz w:val="28"/>
          <w:szCs w:val="28"/>
        </w:rPr>
        <w:tab/>
      </w:r>
      <w:r>
        <w:rPr>
          <w:rFonts w:ascii="Arial,Bold" w:hAnsi="Arial,Bold" w:cs="Arial,Bold"/>
          <w:b/>
          <w:bCs/>
          <w:sz w:val="28"/>
          <w:szCs w:val="28"/>
        </w:rPr>
        <w:tab/>
      </w:r>
      <w:r>
        <w:rPr>
          <w:rFonts w:ascii="Arial,Bold" w:hAnsi="Arial,Bold" w:cs="Arial,Bold"/>
          <w:b/>
          <w:bCs/>
          <w:sz w:val="28"/>
          <w:szCs w:val="28"/>
        </w:rPr>
        <w:tab/>
      </w:r>
      <w:r>
        <w:rPr>
          <w:rFonts w:ascii="Arial,Bold" w:hAnsi="Arial,Bold" w:cs="Arial,Bold"/>
          <w:b/>
          <w:bCs/>
          <w:sz w:val="28"/>
          <w:szCs w:val="28"/>
        </w:rPr>
        <w:tab/>
      </w:r>
      <w:r>
        <w:rPr>
          <w:rFonts w:ascii="Arial,Bold" w:hAnsi="Arial,Bold" w:cs="Arial,Bold"/>
          <w:b/>
          <w:bCs/>
          <w:sz w:val="28"/>
          <w:szCs w:val="28"/>
        </w:rPr>
        <w:tab/>
      </w:r>
      <w:r w:rsidR="002405D8">
        <w:rPr>
          <w:rFonts w:ascii="Arial,Bold" w:hAnsi="Arial,Bold" w:cs="Arial,Bold"/>
          <w:b/>
          <w:bCs/>
          <w:sz w:val="28"/>
          <w:szCs w:val="28"/>
        </w:rPr>
        <w:t>September</w:t>
      </w:r>
      <w:r>
        <w:rPr>
          <w:rFonts w:ascii="Arial,Bold" w:hAnsi="Arial,Bold" w:cs="Arial,Bold"/>
          <w:b/>
          <w:bCs/>
          <w:sz w:val="28"/>
          <w:szCs w:val="28"/>
        </w:rPr>
        <w:t xml:space="preserve"> 202</w:t>
      </w:r>
      <w:r w:rsidR="00B75B1F">
        <w:rPr>
          <w:rFonts w:ascii="Arial,Bold" w:hAnsi="Arial,Bold" w:cs="Arial,Bold"/>
          <w:b/>
          <w:bCs/>
          <w:sz w:val="28"/>
          <w:szCs w:val="28"/>
        </w:rPr>
        <w:t>4</w:t>
      </w:r>
    </w:p>
    <w:p w14:paraId="5586BA1D" w14:textId="2C9ED22A" w:rsidR="00EB663A" w:rsidRDefault="00EB663A" w:rsidP="00285A6D">
      <w:pPr>
        <w:spacing w:line="280" w:lineRule="exact"/>
        <w:rPr>
          <w:rFonts w:ascii="Arial" w:hAnsi="Arial" w:cs="Arial"/>
        </w:rPr>
      </w:pPr>
    </w:p>
    <w:p w14:paraId="63F150C0" w14:textId="77777777" w:rsidR="00EB663A" w:rsidRPr="00963938" w:rsidRDefault="00EB663A" w:rsidP="00285A6D">
      <w:pPr>
        <w:spacing w:line="280" w:lineRule="exact"/>
        <w:rPr>
          <w:rFonts w:ascii="Arial" w:hAnsi="Arial" w:cs="Arial"/>
        </w:rPr>
      </w:pPr>
    </w:p>
    <w:p w14:paraId="4E0F5797" w14:textId="77777777" w:rsidR="00285A6D" w:rsidRPr="00963938" w:rsidRDefault="00285A6D" w:rsidP="00285A6D">
      <w:pPr>
        <w:spacing w:after="0" w:line="259" w:lineRule="auto"/>
        <w:ind w:right="60"/>
        <w:jc w:val="center"/>
        <w:rPr>
          <w:rFonts w:ascii="Arial" w:hAnsi="Arial" w:cs="Arial"/>
          <w:b/>
          <w:sz w:val="40"/>
        </w:rPr>
      </w:pPr>
    </w:p>
    <w:p w14:paraId="3DA00D27" w14:textId="77777777" w:rsidR="00285A6D" w:rsidRPr="00963938" w:rsidRDefault="00285A6D" w:rsidP="00285A6D">
      <w:pPr>
        <w:spacing w:after="0" w:line="259" w:lineRule="auto"/>
        <w:ind w:right="60"/>
        <w:jc w:val="center"/>
        <w:rPr>
          <w:rFonts w:ascii="Arial" w:hAnsi="Arial" w:cs="Arial"/>
          <w:b/>
          <w:sz w:val="40"/>
        </w:rPr>
      </w:pPr>
    </w:p>
    <w:p w14:paraId="38E00474" w14:textId="77777777" w:rsidR="00285A6D" w:rsidRDefault="00285A6D" w:rsidP="00285A6D">
      <w:pPr>
        <w:spacing w:after="0" w:line="259" w:lineRule="auto"/>
        <w:ind w:left="48"/>
        <w:jc w:val="center"/>
        <w:rPr>
          <w:b/>
          <w:sz w:val="40"/>
        </w:rPr>
      </w:pPr>
    </w:p>
    <w:p w14:paraId="53AD2704" w14:textId="34BEB286" w:rsidR="00285A6D" w:rsidRDefault="00285A6D" w:rsidP="00285A6D">
      <w:pPr>
        <w:spacing w:after="0" w:line="259" w:lineRule="auto"/>
        <w:ind w:left="48"/>
        <w:jc w:val="center"/>
        <w:rPr>
          <w:b/>
          <w:sz w:val="40"/>
        </w:rPr>
      </w:pPr>
    </w:p>
    <w:p w14:paraId="12D39201" w14:textId="5994E33D" w:rsidR="00285A6D" w:rsidRDefault="00285A6D" w:rsidP="00285A6D">
      <w:pPr>
        <w:spacing w:after="0" w:line="259" w:lineRule="auto"/>
        <w:ind w:left="48"/>
        <w:jc w:val="center"/>
        <w:rPr>
          <w:b/>
          <w:sz w:val="40"/>
        </w:rPr>
      </w:pPr>
    </w:p>
    <w:p w14:paraId="3FDE81D0" w14:textId="77777777" w:rsidR="00285A6D" w:rsidRDefault="00285A6D" w:rsidP="00285A6D">
      <w:pPr>
        <w:spacing w:after="0" w:line="259" w:lineRule="auto"/>
        <w:ind w:left="48"/>
        <w:jc w:val="center"/>
      </w:pPr>
    </w:p>
    <w:p w14:paraId="417C3140" w14:textId="4A7F4D51" w:rsidR="00285A6D" w:rsidRPr="00EB663A" w:rsidRDefault="00285A6D" w:rsidP="00EB663A">
      <w:pPr>
        <w:spacing w:after="0" w:line="259" w:lineRule="auto"/>
        <w:ind w:left="48"/>
        <w:jc w:val="center"/>
      </w:pPr>
      <w:r>
        <w:rPr>
          <w:b/>
          <w:sz w:val="40"/>
        </w:rPr>
        <w:t xml:space="preserve"> </w:t>
      </w:r>
    </w:p>
    <w:p w14:paraId="547A3F70" w14:textId="77777777" w:rsidR="00285A6D" w:rsidRPr="00771869" w:rsidRDefault="00285A6D" w:rsidP="00285A6D">
      <w:pPr>
        <w:spacing w:after="0" w:line="259" w:lineRule="auto"/>
        <w:ind w:left="48"/>
        <w:jc w:val="center"/>
      </w:pPr>
    </w:p>
    <w:p w14:paraId="70E087B2" w14:textId="77777777" w:rsidR="00285A6D" w:rsidRPr="008F6BFE" w:rsidRDefault="00285A6D" w:rsidP="00285A6D">
      <w:pPr>
        <w:pStyle w:val="Heading1"/>
        <w:spacing w:after="254"/>
        <w:ind w:left="36" w:right="87"/>
      </w:pPr>
      <w:r w:rsidRPr="008F6BFE">
        <w:rPr>
          <w:u w:color="000000"/>
        </w:rPr>
        <w:t>CONTENTS</w:t>
      </w:r>
    </w:p>
    <w:p w14:paraId="70C2B9F6" w14:textId="77777777" w:rsidR="00285A6D" w:rsidRPr="008F6BFE" w:rsidRDefault="00285A6D" w:rsidP="00285A6D">
      <w:pPr>
        <w:spacing w:after="0" w:line="259" w:lineRule="auto"/>
      </w:pPr>
      <w:r>
        <w:t xml:space="preserve"> </w:t>
      </w:r>
    </w:p>
    <w:p w14:paraId="79650DC5" w14:textId="77777777" w:rsidR="00285A6D" w:rsidRPr="00884F89" w:rsidRDefault="00285A6D" w:rsidP="00285A6D">
      <w:pPr>
        <w:numPr>
          <w:ilvl w:val="0"/>
          <w:numId w:val="10"/>
        </w:numPr>
        <w:spacing w:after="235" w:line="250" w:lineRule="auto"/>
        <w:ind w:hanging="722"/>
        <w:rPr>
          <w:rFonts w:ascii="Arial" w:hAnsi="Arial" w:cs="Arial"/>
        </w:rPr>
      </w:pPr>
      <w:r w:rsidRPr="00884F89">
        <w:rPr>
          <w:rFonts w:ascii="Arial" w:hAnsi="Arial" w:cs="Arial"/>
        </w:rPr>
        <w:t xml:space="preserve">Introduction </w:t>
      </w:r>
    </w:p>
    <w:p w14:paraId="34CE4510" w14:textId="77777777" w:rsidR="00285A6D" w:rsidRPr="00884F89" w:rsidRDefault="00285A6D" w:rsidP="00285A6D">
      <w:pPr>
        <w:numPr>
          <w:ilvl w:val="0"/>
          <w:numId w:val="10"/>
        </w:numPr>
        <w:spacing w:after="235" w:line="250" w:lineRule="auto"/>
        <w:ind w:hanging="722"/>
        <w:rPr>
          <w:rFonts w:ascii="Arial" w:hAnsi="Arial" w:cs="Arial"/>
        </w:rPr>
      </w:pPr>
      <w:r w:rsidRPr="00884F89">
        <w:rPr>
          <w:rFonts w:ascii="Arial" w:hAnsi="Arial" w:cs="Arial"/>
        </w:rPr>
        <w:t xml:space="preserve">General Investment Principles </w:t>
      </w:r>
    </w:p>
    <w:p w14:paraId="683C5273" w14:textId="77777777" w:rsidR="00285A6D" w:rsidRPr="00884F89" w:rsidRDefault="00285A6D" w:rsidP="00285A6D">
      <w:pPr>
        <w:numPr>
          <w:ilvl w:val="0"/>
          <w:numId w:val="10"/>
        </w:numPr>
        <w:spacing w:after="235" w:line="250" w:lineRule="auto"/>
        <w:ind w:hanging="722"/>
        <w:rPr>
          <w:rFonts w:ascii="Arial" w:hAnsi="Arial" w:cs="Arial"/>
        </w:rPr>
      </w:pPr>
      <w:r w:rsidRPr="00884F89">
        <w:rPr>
          <w:rFonts w:ascii="Arial" w:hAnsi="Arial" w:cs="Arial"/>
        </w:rPr>
        <w:t xml:space="preserve">Responsibilities for investment activities </w:t>
      </w:r>
    </w:p>
    <w:p w14:paraId="6D33E53C" w14:textId="77777777" w:rsidR="00285A6D" w:rsidRPr="00884F89" w:rsidRDefault="00285A6D" w:rsidP="00285A6D">
      <w:pPr>
        <w:numPr>
          <w:ilvl w:val="0"/>
          <w:numId w:val="10"/>
        </w:numPr>
        <w:spacing w:after="235" w:line="250" w:lineRule="auto"/>
        <w:ind w:hanging="722"/>
        <w:rPr>
          <w:rFonts w:ascii="Arial" w:hAnsi="Arial" w:cs="Arial"/>
        </w:rPr>
      </w:pPr>
      <w:r w:rsidRPr="00884F89">
        <w:rPr>
          <w:rFonts w:ascii="Arial" w:hAnsi="Arial" w:cs="Arial"/>
        </w:rPr>
        <w:t xml:space="preserve">Responsible investment and engagement </w:t>
      </w:r>
    </w:p>
    <w:p w14:paraId="7AEE185E" w14:textId="77777777" w:rsidR="00285A6D" w:rsidRPr="00884F89" w:rsidRDefault="00285A6D" w:rsidP="00285A6D">
      <w:pPr>
        <w:numPr>
          <w:ilvl w:val="0"/>
          <w:numId w:val="10"/>
        </w:numPr>
        <w:spacing w:after="236" w:line="250" w:lineRule="auto"/>
        <w:ind w:hanging="722"/>
        <w:rPr>
          <w:rFonts w:ascii="Arial" w:hAnsi="Arial" w:cs="Arial"/>
        </w:rPr>
      </w:pPr>
      <w:r w:rsidRPr="00884F89">
        <w:rPr>
          <w:rFonts w:ascii="Arial" w:hAnsi="Arial" w:cs="Arial"/>
        </w:rPr>
        <w:t xml:space="preserve">Asset allocation &amp; volatility </w:t>
      </w:r>
    </w:p>
    <w:p w14:paraId="1B29CBCE" w14:textId="77777777" w:rsidR="00285A6D" w:rsidRPr="00884F89" w:rsidRDefault="00285A6D" w:rsidP="00285A6D">
      <w:pPr>
        <w:numPr>
          <w:ilvl w:val="0"/>
          <w:numId w:val="10"/>
        </w:numPr>
        <w:spacing w:after="248" w:line="250" w:lineRule="auto"/>
        <w:ind w:hanging="722"/>
        <w:rPr>
          <w:rFonts w:ascii="Arial" w:hAnsi="Arial" w:cs="Arial"/>
        </w:rPr>
      </w:pPr>
      <w:r w:rsidRPr="00884F89">
        <w:rPr>
          <w:rFonts w:ascii="Arial" w:hAnsi="Arial" w:cs="Arial"/>
        </w:rPr>
        <w:t>Reporting and oversight</w:t>
      </w:r>
    </w:p>
    <w:p w14:paraId="2D7C68D7" w14:textId="77777777" w:rsidR="00285A6D" w:rsidRPr="00884F89" w:rsidRDefault="00285A6D" w:rsidP="00285A6D">
      <w:pPr>
        <w:numPr>
          <w:ilvl w:val="0"/>
          <w:numId w:val="10"/>
        </w:numPr>
        <w:spacing w:after="248" w:line="250" w:lineRule="auto"/>
        <w:ind w:hanging="722"/>
        <w:rPr>
          <w:rFonts w:ascii="Arial" w:hAnsi="Arial" w:cs="Arial"/>
        </w:rPr>
      </w:pPr>
      <w:r w:rsidRPr="00884F89">
        <w:rPr>
          <w:rFonts w:ascii="Arial" w:hAnsi="Arial" w:cs="Arial"/>
        </w:rPr>
        <w:t xml:space="preserve">Investment Manager(s) Performance Review and Evaluation  </w:t>
      </w:r>
    </w:p>
    <w:p w14:paraId="18CED321" w14:textId="77777777" w:rsidR="00285A6D" w:rsidRDefault="00285A6D" w:rsidP="00285A6D">
      <w:pPr>
        <w:spacing w:after="0" w:line="259" w:lineRule="auto"/>
      </w:pPr>
    </w:p>
    <w:p w14:paraId="5186565B" w14:textId="77777777" w:rsidR="00285A6D" w:rsidRDefault="00285A6D" w:rsidP="00285A6D">
      <w:pPr>
        <w:spacing w:after="0" w:line="259" w:lineRule="auto"/>
      </w:pPr>
    </w:p>
    <w:p w14:paraId="29ABB1D5" w14:textId="77777777" w:rsidR="00285A6D" w:rsidRDefault="00285A6D" w:rsidP="00285A6D">
      <w:pPr>
        <w:spacing w:after="0" w:line="259" w:lineRule="auto"/>
      </w:pPr>
    </w:p>
    <w:p w14:paraId="3AD20AE0" w14:textId="77777777" w:rsidR="00285A6D" w:rsidRDefault="00285A6D" w:rsidP="00285A6D">
      <w:pPr>
        <w:spacing w:after="0" w:line="259" w:lineRule="auto"/>
      </w:pPr>
    </w:p>
    <w:p w14:paraId="26F80CB1" w14:textId="77777777" w:rsidR="00285A6D" w:rsidRDefault="00285A6D" w:rsidP="00285A6D">
      <w:pPr>
        <w:spacing w:after="0" w:line="259" w:lineRule="auto"/>
      </w:pPr>
    </w:p>
    <w:p w14:paraId="150BA98F" w14:textId="77777777" w:rsidR="00285A6D" w:rsidRDefault="00285A6D" w:rsidP="00285A6D">
      <w:pPr>
        <w:spacing w:after="0" w:line="259" w:lineRule="auto"/>
      </w:pPr>
    </w:p>
    <w:p w14:paraId="7B74A2D2" w14:textId="77777777" w:rsidR="00285A6D" w:rsidRDefault="00285A6D" w:rsidP="00285A6D">
      <w:pPr>
        <w:spacing w:after="0" w:line="259" w:lineRule="auto"/>
      </w:pPr>
    </w:p>
    <w:p w14:paraId="44974441" w14:textId="77777777" w:rsidR="00285A6D" w:rsidRDefault="00285A6D" w:rsidP="00285A6D">
      <w:pPr>
        <w:spacing w:after="0" w:line="259" w:lineRule="auto"/>
      </w:pPr>
    </w:p>
    <w:p w14:paraId="7A225617" w14:textId="77777777" w:rsidR="00285A6D" w:rsidRDefault="00285A6D" w:rsidP="00285A6D">
      <w:pPr>
        <w:spacing w:after="0" w:line="259" w:lineRule="auto"/>
      </w:pPr>
    </w:p>
    <w:p w14:paraId="124DA074" w14:textId="77777777" w:rsidR="00285A6D" w:rsidRDefault="00285A6D" w:rsidP="00285A6D">
      <w:pPr>
        <w:spacing w:after="0" w:line="259" w:lineRule="auto"/>
      </w:pPr>
    </w:p>
    <w:p w14:paraId="47112B6D" w14:textId="77777777" w:rsidR="00285A6D" w:rsidRDefault="00285A6D" w:rsidP="00285A6D">
      <w:pPr>
        <w:spacing w:after="0" w:line="259" w:lineRule="auto"/>
      </w:pPr>
    </w:p>
    <w:p w14:paraId="78BBD1A8" w14:textId="77777777" w:rsidR="00285A6D" w:rsidRDefault="00285A6D" w:rsidP="00285A6D">
      <w:pPr>
        <w:spacing w:after="0" w:line="259" w:lineRule="auto"/>
      </w:pPr>
    </w:p>
    <w:p w14:paraId="58670ACC" w14:textId="77777777" w:rsidR="00285A6D" w:rsidRDefault="00285A6D" w:rsidP="00285A6D">
      <w:pPr>
        <w:spacing w:after="0" w:line="259" w:lineRule="auto"/>
      </w:pPr>
    </w:p>
    <w:p w14:paraId="04161C30" w14:textId="77777777" w:rsidR="00285A6D" w:rsidRDefault="00285A6D" w:rsidP="00285A6D">
      <w:pPr>
        <w:spacing w:after="0" w:line="259" w:lineRule="auto"/>
      </w:pPr>
    </w:p>
    <w:p w14:paraId="5F441C60" w14:textId="77777777" w:rsidR="00285A6D" w:rsidRDefault="00285A6D" w:rsidP="00285A6D">
      <w:pPr>
        <w:spacing w:after="0" w:line="259" w:lineRule="auto"/>
      </w:pPr>
    </w:p>
    <w:p w14:paraId="53017EE4" w14:textId="77777777" w:rsidR="00285A6D" w:rsidRDefault="00285A6D" w:rsidP="00285A6D">
      <w:pPr>
        <w:spacing w:after="0" w:line="259" w:lineRule="auto"/>
      </w:pPr>
    </w:p>
    <w:p w14:paraId="7B6DDFDE" w14:textId="77777777" w:rsidR="00285A6D" w:rsidRDefault="00285A6D" w:rsidP="00285A6D">
      <w:pPr>
        <w:spacing w:after="0" w:line="259" w:lineRule="auto"/>
      </w:pPr>
    </w:p>
    <w:p w14:paraId="41324F32" w14:textId="77777777" w:rsidR="00285A6D" w:rsidRDefault="00285A6D" w:rsidP="00285A6D">
      <w:pPr>
        <w:spacing w:after="0" w:line="259" w:lineRule="auto"/>
      </w:pPr>
    </w:p>
    <w:p w14:paraId="4214FB45" w14:textId="77777777" w:rsidR="00285A6D" w:rsidRDefault="00285A6D" w:rsidP="00285A6D">
      <w:pPr>
        <w:spacing w:after="0" w:line="259" w:lineRule="auto"/>
      </w:pPr>
    </w:p>
    <w:p w14:paraId="39F85232" w14:textId="77777777" w:rsidR="00285A6D" w:rsidRDefault="00285A6D" w:rsidP="00285A6D">
      <w:pPr>
        <w:spacing w:after="0" w:line="259" w:lineRule="auto"/>
      </w:pPr>
    </w:p>
    <w:p w14:paraId="067610A0" w14:textId="56160F39" w:rsidR="00285A6D" w:rsidRDefault="00285A6D" w:rsidP="00285A6D">
      <w:pPr>
        <w:spacing w:after="0" w:line="259" w:lineRule="auto"/>
      </w:pPr>
    </w:p>
    <w:p w14:paraId="2752EE40" w14:textId="338AE059" w:rsidR="000B621C" w:rsidRDefault="000B621C" w:rsidP="00285A6D">
      <w:pPr>
        <w:spacing w:after="0" w:line="259" w:lineRule="auto"/>
      </w:pPr>
    </w:p>
    <w:p w14:paraId="71CD7AAA" w14:textId="77777777" w:rsidR="000B621C" w:rsidRDefault="000B621C" w:rsidP="00285A6D">
      <w:pPr>
        <w:spacing w:after="0" w:line="259" w:lineRule="auto"/>
      </w:pPr>
    </w:p>
    <w:p w14:paraId="4D421D26" w14:textId="77777777" w:rsidR="00285A6D" w:rsidRDefault="00285A6D" w:rsidP="00285A6D">
      <w:pPr>
        <w:spacing w:after="0" w:line="259" w:lineRule="auto"/>
      </w:pPr>
    </w:p>
    <w:p w14:paraId="55BBFD97" w14:textId="77777777" w:rsidR="00802CCD" w:rsidRPr="00802CCD" w:rsidRDefault="00802CCD" w:rsidP="00802CCD">
      <w:pPr>
        <w:pStyle w:val="Heading2"/>
        <w:ind w:right="49"/>
        <w:rPr>
          <w:sz w:val="22"/>
        </w:rPr>
      </w:pPr>
      <w:r w:rsidRPr="00802CCD">
        <w:rPr>
          <w:sz w:val="22"/>
        </w:rPr>
        <w:t>INTRODUCTION</w:t>
      </w:r>
    </w:p>
    <w:p w14:paraId="27FC6A11" w14:textId="77777777" w:rsidR="00802CCD" w:rsidRPr="00802CCD" w:rsidRDefault="00802CCD" w:rsidP="00802CCD">
      <w:pPr>
        <w:spacing w:after="0" w:line="259" w:lineRule="auto"/>
        <w:rPr>
          <w:rFonts w:ascii="Arial" w:hAnsi="Arial" w:cs="Arial"/>
        </w:rPr>
      </w:pPr>
      <w:r w:rsidRPr="00802CCD">
        <w:rPr>
          <w:rFonts w:ascii="Arial" w:hAnsi="Arial" w:cs="Arial"/>
        </w:rPr>
        <w:t xml:space="preserve"> </w:t>
      </w:r>
    </w:p>
    <w:p w14:paraId="09C86657" w14:textId="2A8F426E" w:rsidR="00802CCD" w:rsidRPr="00802CCD" w:rsidRDefault="00802CCD" w:rsidP="00802CCD">
      <w:pPr>
        <w:tabs>
          <w:tab w:val="center" w:pos="2354"/>
        </w:tabs>
        <w:ind w:left="-15"/>
        <w:rPr>
          <w:rFonts w:ascii="Arial" w:hAnsi="Arial" w:cs="Arial"/>
        </w:rPr>
      </w:pPr>
      <w:r w:rsidRPr="00802CCD">
        <w:rPr>
          <w:rFonts w:ascii="Arial" w:hAnsi="Arial" w:cs="Arial"/>
        </w:rPr>
        <w:t xml:space="preserve">1.1 </w:t>
      </w:r>
      <w:r w:rsidRPr="00802CCD">
        <w:rPr>
          <w:rFonts w:ascii="Arial" w:hAnsi="Arial" w:cs="Arial"/>
        </w:rPr>
        <w:tab/>
        <w:t xml:space="preserve">This investment policy aims to:  </w:t>
      </w:r>
    </w:p>
    <w:p w14:paraId="680ADF4F" w14:textId="77777777" w:rsidR="00802CCD" w:rsidRPr="00802CCD" w:rsidRDefault="00802CCD" w:rsidP="00802CCD">
      <w:pPr>
        <w:numPr>
          <w:ilvl w:val="0"/>
          <w:numId w:val="11"/>
        </w:numPr>
        <w:spacing w:after="109" w:line="250" w:lineRule="auto"/>
        <w:ind w:right="118" w:hanging="540"/>
        <w:rPr>
          <w:rFonts w:ascii="Arial" w:hAnsi="Arial" w:cs="Arial"/>
        </w:rPr>
      </w:pPr>
      <w:r w:rsidRPr="00802CCD">
        <w:rPr>
          <w:rFonts w:ascii="Arial" w:hAnsi="Arial" w:cs="Arial"/>
        </w:rPr>
        <w:t>Establish a clear understanding of the University's general investment principles</w:t>
      </w:r>
    </w:p>
    <w:p w14:paraId="0425D363" w14:textId="77777777" w:rsidR="00802CCD" w:rsidRPr="00802CCD" w:rsidRDefault="00802CCD" w:rsidP="00802CCD">
      <w:pPr>
        <w:numPr>
          <w:ilvl w:val="0"/>
          <w:numId w:val="11"/>
        </w:numPr>
        <w:spacing w:after="5" w:line="351" w:lineRule="auto"/>
        <w:ind w:right="118" w:hanging="540"/>
        <w:rPr>
          <w:rFonts w:ascii="Arial" w:hAnsi="Arial" w:cs="Arial"/>
        </w:rPr>
      </w:pPr>
      <w:r w:rsidRPr="00802CCD">
        <w:rPr>
          <w:rFonts w:ascii="Arial" w:hAnsi="Arial" w:cs="Arial"/>
        </w:rPr>
        <w:t xml:space="preserve">Define and assign responsibilities for investment activities </w:t>
      </w:r>
    </w:p>
    <w:p w14:paraId="3A2B2FD8" w14:textId="77777777" w:rsidR="00802CCD" w:rsidRPr="00802CCD" w:rsidRDefault="00802CCD" w:rsidP="00802CCD">
      <w:pPr>
        <w:numPr>
          <w:ilvl w:val="0"/>
          <w:numId w:val="11"/>
        </w:numPr>
        <w:spacing w:after="5" w:line="351" w:lineRule="auto"/>
        <w:ind w:right="118" w:hanging="540"/>
        <w:rPr>
          <w:rFonts w:ascii="Arial" w:hAnsi="Arial" w:cs="Arial"/>
        </w:rPr>
      </w:pPr>
      <w:r w:rsidRPr="00802CCD">
        <w:rPr>
          <w:rFonts w:ascii="Arial" w:hAnsi="Arial" w:cs="Arial"/>
        </w:rPr>
        <w:t>Clarify the principles that should be followed with regard to responsible investment and engagement</w:t>
      </w:r>
    </w:p>
    <w:p w14:paraId="25D731C2" w14:textId="77777777" w:rsidR="00802CCD" w:rsidRPr="00802CCD" w:rsidRDefault="00802CCD" w:rsidP="00802CCD">
      <w:pPr>
        <w:numPr>
          <w:ilvl w:val="0"/>
          <w:numId w:val="11"/>
        </w:numPr>
        <w:spacing w:after="5" w:line="351" w:lineRule="auto"/>
        <w:ind w:right="118" w:hanging="540"/>
        <w:rPr>
          <w:rFonts w:ascii="Arial" w:hAnsi="Arial" w:cs="Arial"/>
        </w:rPr>
      </w:pPr>
      <w:r w:rsidRPr="00802CCD">
        <w:rPr>
          <w:rFonts w:ascii="Arial" w:hAnsi="Arial" w:cs="Arial"/>
        </w:rPr>
        <w:t>Define our policy on asset allocation and tolerance to volatility</w:t>
      </w:r>
    </w:p>
    <w:p w14:paraId="4B9CB379" w14:textId="77777777" w:rsidR="00802CCD" w:rsidRPr="00802CCD" w:rsidRDefault="00802CCD" w:rsidP="00802CCD">
      <w:pPr>
        <w:numPr>
          <w:ilvl w:val="0"/>
          <w:numId w:val="12"/>
        </w:numPr>
        <w:spacing w:after="5" w:line="250" w:lineRule="auto"/>
        <w:ind w:hanging="540"/>
        <w:rPr>
          <w:rFonts w:ascii="Arial" w:hAnsi="Arial" w:cs="Arial"/>
        </w:rPr>
      </w:pPr>
      <w:r w:rsidRPr="00802CCD">
        <w:rPr>
          <w:rFonts w:ascii="Arial" w:hAnsi="Arial" w:cs="Arial"/>
        </w:rPr>
        <w:t xml:space="preserve">Establish a basis for reporting and oversight of investment results </w:t>
      </w:r>
    </w:p>
    <w:p w14:paraId="559DF42F" w14:textId="77777777" w:rsidR="00802CCD" w:rsidRPr="00802CCD" w:rsidRDefault="00802CCD" w:rsidP="00802CCD">
      <w:pPr>
        <w:spacing w:after="0" w:line="259" w:lineRule="auto"/>
        <w:rPr>
          <w:rFonts w:ascii="Arial" w:hAnsi="Arial" w:cs="Arial"/>
        </w:rPr>
      </w:pPr>
      <w:r w:rsidRPr="00802CCD">
        <w:rPr>
          <w:rFonts w:ascii="Arial" w:hAnsi="Arial" w:cs="Arial"/>
        </w:rPr>
        <w:t xml:space="preserve">  </w:t>
      </w:r>
    </w:p>
    <w:p w14:paraId="27AD9700" w14:textId="77777777" w:rsidR="00802CCD" w:rsidRPr="00802CCD" w:rsidRDefault="00802CCD" w:rsidP="00802CCD">
      <w:pPr>
        <w:spacing w:after="0" w:line="259" w:lineRule="auto"/>
        <w:rPr>
          <w:rFonts w:ascii="Arial" w:hAnsi="Arial" w:cs="Arial"/>
        </w:rPr>
      </w:pPr>
    </w:p>
    <w:p w14:paraId="4986B25E" w14:textId="77777777" w:rsidR="00802CCD" w:rsidRPr="00802CCD" w:rsidRDefault="00802CCD" w:rsidP="00802CCD">
      <w:pPr>
        <w:pStyle w:val="Heading1"/>
        <w:ind w:right="86"/>
        <w:jc w:val="left"/>
        <w:rPr>
          <w:sz w:val="22"/>
        </w:rPr>
      </w:pPr>
      <w:r w:rsidRPr="00802CCD">
        <w:rPr>
          <w:sz w:val="22"/>
        </w:rPr>
        <w:t xml:space="preserve">GENERAL INVESTMENT PRINCIPLES </w:t>
      </w:r>
    </w:p>
    <w:p w14:paraId="4F75920B" w14:textId="77777777" w:rsidR="00802CCD" w:rsidRPr="00802CCD" w:rsidRDefault="00802CCD" w:rsidP="00802CCD">
      <w:pPr>
        <w:spacing w:after="0" w:line="259" w:lineRule="auto"/>
        <w:ind w:left="4"/>
        <w:jc w:val="center"/>
        <w:rPr>
          <w:rFonts w:ascii="Arial" w:hAnsi="Arial" w:cs="Arial"/>
        </w:rPr>
      </w:pPr>
      <w:r w:rsidRPr="00802CCD">
        <w:rPr>
          <w:rFonts w:ascii="Arial" w:hAnsi="Arial" w:cs="Arial"/>
          <w:b/>
        </w:rPr>
        <w:t xml:space="preserve"> </w:t>
      </w:r>
    </w:p>
    <w:p w14:paraId="3775651C" w14:textId="467385DC" w:rsidR="00802CCD" w:rsidRPr="00802CCD" w:rsidRDefault="00802CCD" w:rsidP="00205DB5">
      <w:pPr>
        <w:tabs>
          <w:tab w:val="center" w:pos="4226"/>
        </w:tabs>
        <w:ind w:left="-15"/>
        <w:rPr>
          <w:rFonts w:ascii="Arial" w:hAnsi="Arial" w:cs="Arial"/>
        </w:rPr>
      </w:pPr>
      <w:r w:rsidRPr="00802CCD">
        <w:rPr>
          <w:rFonts w:ascii="Arial" w:hAnsi="Arial" w:cs="Arial"/>
        </w:rPr>
        <w:t xml:space="preserve">2.1       Investments shall be made solely in the interests of the University.  </w:t>
      </w:r>
    </w:p>
    <w:p w14:paraId="07D58402" w14:textId="1ABC9B68" w:rsidR="00802CCD" w:rsidRPr="00802CCD" w:rsidRDefault="00802CCD" w:rsidP="00205DB5">
      <w:pPr>
        <w:ind w:left="705" w:hanging="720"/>
        <w:rPr>
          <w:rFonts w:ascii="Arial" w:hAnsi="Arial" w:cs="Arial"/>
        </w:rPr>
      </w:pPr>
      <w:r w:rsidRPr="00802CCD">
        <w:rPr>
          <w:rFonts w:ascii="Arial" w:hAnsi="Arial" w:cs="Arial"/>
        </w:rPr>
        <w:t xml:space="preserve">2.2 </w:t>
      </w:r>
      <w:r w:rsidRPr="00802CCD">
        <w:rPr>
          <w:rFonts w:ascii="Arial" w:hAnsi="Arial" w:cs="Arial"/>
        </w:rPr>
        <w:tab/>
        <w:t xml:space="preserve">Investments shall be made to obtain the best financial return for the University, while being consistent with a responsible and ethical approach to investment. </w:t>
      </w:r>
    </w:p>
    <w:p w14:paraId="2536060A" w14:textId="77777777" w:rsidR="00802CCD" w:rsidRPr="00802CCD" w:rsidRDefault="00802CCD" w:rsidP="00802CCD">
      <w:pPr>
        <w:ind w:left="705" w:hanging="720"/>
        <w:rPr>
          <w:rFonts w:ascii="Arial" w:hAnsi="Arial" w:cs="Arial"/>
        </w:rPr>
      </w:pPr>
      <w:r w:rsidRPr="00802CCD">
        <w:rPr>
          <w:rFonts w:ascii="Arial" w:hAnsi="Arial" w:cs="Arial"/>
        </w:rPr>
        <w:t xml:space="preserve">2.3 </w:t>
      </w:r>
      <w:r w:rsidRPr="00802CCD">
        <w:rPr>
          <w:rFonts w:ascii="Arial" w:hAnsi="Arial" w:cs="Arial"/>
        </w:rPr>
        <w:tab/>
        <w:t xml:space="preserve">The University will employ one or more Investment Manager(s) to attain its investment objectives.  </w:t>
      </w:r>
    </w:p>
    <w:p w14:paraId="249261C9" w14:textId="77777777" w:rsidR="00802CCD" w:rsidRPr="00802CCD" w:rsidRDefault="00802CCD" w:rsidP="00802CCD">
      <w:pPr>
        <w:spacing w:after="0" w:line="259" w:lineRule="auto"/>
        <w:rPr>
          <w:rFonts w:ascii="Arial" w:hAnsi="Arial" w:cs="Arial"/>
        </w:rPr>
      </w:pPr>
    </w:p>
    <w:p w14:paraId="1EBE1FAF" w14:textId="77777777" w:rsidR="00802CCD" w:rsidRPr="00802CCD" w:rsidRDefault="00802CCD" w:rsidP="00802CCD">
      <w:pPr>
        <w:spacing w:after="0" w:line="259" w:lineRule="auto"/>
        <w:rPr>
          <w:rFonts w:ascii="Arial" w:hAnsi="Arial" w:cs="Arial"/>
        </w:rPr>
      </w:pPr>
    </w:p>
    <w:p w14:paraId="7ED230DF" w14:textId="77777777" w:rsidR="00802CCD" w:rsidRPr="00802CCD" w:rsidRDefault="00802CCD" w:rsidP="00802CCD">
      <w:pPr>
        <w:pStyle w:val="Heading2"/>
        <w:ind w:right="49"/>
        <w:rPr>
          <w:sz w:val="22"/>
        </w:rPr>
      </w:pPr>
      <w:r w:rsidRPr="00802CCD">
        <w:rPr>
          <w:sz w:val="22"/>
        </w:rPr>
        <w:t>RESPONSIBILITIES FOR INVESTMENT ACTIVITIES</w:t>
      </w:r>
    </w:p>
    <w:p w14:paraId="60A9D2F8" w14:textId="77777777" w:rsidR="00802CCD" w:rsidRPr="00802CCD" w:rsidRDefault="00802CCD" w:rsidP="00802CCD">
      <w:pPr>
        <w:spacing w:after="0" w:line="259" w:lineRule="auto"/>
        <w:rPr>
          <w:rFonts w:ascii="Arial" w:hAnsi="Arial" w:cs="Arial"/>
        </w:rPr>
      </w:pPr>
    </w:p>
    <w:p w14:paraId="60D3A5F4" w14:textId="4460844C" w:rsidR="00802CCD" w:rsidRPr="00802CCD" w:rsidRDefault="00802CCD" w:rsidP="00205DB5">
      <w:pPr>
        <w:ind w:left="567" w:hanging="582"/>
        <w:rPr>
          <w:rFonts w:ascii="Arial" w:hAnsi="Arial" w:cs="Arial"/>
        </w:rPr>
      </w:pPr>
      <w:r w:rsidRPr="00802CCD">
        <w:rPr>
          <w:rFonts w:ascii="Arial" w:hAnsi="Arial" w:cs="Arial"/>
        </w:rPr>
        <w:t xml:space="preserve">3.1 </w:t>
      </w:r>
      <w:r w:rsidRPr="00802CCD">
        <w:rPr>
          <w:rFonts w:ascii="Arial" w:hAnsi="Arial" w:cs="Arial"/>
        </w:rPr>
        <w:tab/>
        <w:t xml:space="preserve">The delegation of authority for investment decisions within the University is the </w:t>
      </w:r>
      <w:r>
        <w:rPr>
          <w:rFonts w:ascii="Arial" w:hAnsi="Arial" w:cs="Arial"/>
        </w:rPr>
        <w:t>Investment</w:t>
      </w:r>
      <w:r w:rsidRPr="00802CCD">
        <w:rPr>
          <w:rFonts w:ascii="Arial" w:hAnsi="Arial" w:cs="Arial"/>
        </w:rPr>
        <w:t xml:space="preserve"> Committee. </w:t>
      </w:r>
    </w:p>
    <w:p w14:paraId="36C32D37" w14:textId="2688BA36" w:rsidR="00802CCD" w:rsidRPr="00802CCD" w:rsidRDefault="00802CCD" w:rsidP="00205DB5">
      <w:pPr>
        <w:ind w:left="567" w:hanging="582"/>
        <w:rPr>
          <w:rFonts w:ascii="Arial" w:hAnsi="Arial" w:cs="Arial"/>
        </w:rPr>
      </w:pPr>
      <w:r w:rsidRPr="00802CCD">
        <w:rPr>
          <w:rFonts w:ascii="Arial" w:hAnsi="Arial" w:cs="Arial"/>
        </w:rPr>
        <w:t>The committee’s res</w:t>
      </w:r>
      <w:r w:rsidR="00205DB5">
        <w:rPr>
          <w:rFonts w:ascii="Arial" w:hAnsi="Arial" w:cs="Arial"/>
        </w:rPr>
        <w:t>p</w:t>
      </w:r>
      <w:r w:rsidRPr="00802CCD">
        <w:rPr>
          <w:rFonts w:ascii="Arial" w:hAnsi="Arial" w:cs="Arial"/>
        </w:rPr>
        <w:t>onsibilities are as follows:</w:t>
      </w:r>
    </w:p>
    <w:p w14:paraId="78AA6294" w14:textId="77777777" w:rsidR="00802CCD" w:rsidRPr="00802CCD" w:rsidRDefault="00802CCD" w:rsidP="00802CCD">
      <w:pPr>
        <w:numPr>
          <w:ilvl w:val="2"/>
          <w:numId w:val="13"/>
        </w:numPr>
        <w:spacing w:after="272" w:line="250" w:lineRule="auto"/>
        <w:ind w:left="567" w:hanging="582"/>
        <w:rPr>
          <w:rFonts w:ascii="Arial" w:hAnsi="Arial" w:cs="Arial"/>
        </w:rPr>
      </w:pPr>
      <w:r w:rsidRPr="00802CCD">
        <w:rPr>
          <w:rFonts w:ascii="Arial" w:hAnsi="Arial" w:cs="Arial"/>
        </w:rPr>
        <w:t xml:space="preserve">To determine the allocation of funds for investment, indicating the liquidity requirements attached to the funds. </w:t>
      </w:r>
    </w:p>
    <w:p w14:paraId="3B94D289" w14:textId="77777777" w:rsidR="00802CCD" w:rsidRPr="00802CCD" w:rsidRDefault="00802CCD" w:rsidP="00802CCD">
      <w:pPr>
        <w:numPr>
          <w:ilvl w:val="2"/>
          <w:numId w:val="13"/>
        </w:numPr>
        <w:spacing w:after="5" w:line="250" w:lineRule="auto"/>
        <w:ind w:left="567" w:hanging="582"/>
        <w:rPr>
          <w:rFonts w:ascii="Arial" w:hAnsi="Arial" w:cs="Arial"/>
        </w:rPr>
      </w:pPr>
      <w:r w:rsidRPr="00802CCD">
        <w:rPr>
          <w:rFonts w:ascii="Arial" w:hAnsi="Arial" w:cs="Arial"/>
        </w:rPr>
        <w:t xml:space="preserve">To determine the strategic orientation, risk profile and allocation policy of funds under its management. </w:t>
      </w:r>
    </w:p>
    <w:p w14:paraId="575D9488" w14:textId="77777777" w:rsidR="00802CCD" w:rsidRPr="00802CCD" w:rsidRDefault="00802CCD" w:rsidP="00802CCD">
      <w:pPr>
        <w:spacing w:after="57" w:line="259" w:lineRule="auto"/>
        <w:rPr>
          <w:rFonts w:ascii="Arial" w:hAnsi="Arial" w:cs="Arial"/>
        </w:rPr>
      </w:pPr>
    </w:p>
    <w:p w14:paraId="02D6F733" w14:textId="32C2B252" w:rsidR="00802CCD" w:rsidRPr="00205DB5" w:rsidRDefault="00802CCD" w:rsidP="00205DB5">
      <w:pPr>
        <w:numPr>
          <w:ilvl w:val="2"/>
          <w:numId w:val="13"/>
        </w:numPr>
        <w:spacing w:after="270" w:line="250" w:lineRule="auto"/>
        <w:ind w:left="567" w:hanging="582"/>
        <w:rPr>
          <w:rFonts w:ascii="Arial" w:hAnsi="Arial" w:cs="Arial"/>
        </w:rPr>
      </w:pPr>
      <w:r w:rsidRPr="00802CCD">
        <w:rPr>
          <w:rFonts w:ascii="Arial" w:hAnsi="Arial" w:cs="Arial"/>
        </w:rPr>
        <w:t>To appoint Investment Manager(s) and receive reports on the performance of investments under their management.</w:t>
      </w:r>
    </w:p>
    <w:p w14:paraId="0BD60F69" w14:textId="77777777" w:rsidR="00802CCD" w:rsidRPr="00802CCD" w:rsidRDefault="00802CCD" w:rsidP="00802CCD">
      <w:pPr>
        <w:pStyle w:val="ListParagraph"/>
        <w:numPr>
          <w:ilvl w:val="1"/>
          <w:numId w:val="17"/>
        </w:numPr>
        <w:spacing w:after="5" w:line="250" w:lineRule="auto"/>
        <w:ind w:left="567" w:hanging="582"/>
        <w:rPr>
          <w:rFonts w:ascii="Arial" w:hAnsi="Arial" w:cs="Arial"/>
        </w:rPr>
      </w:pPr>
      <w:r w:rsidRPr="00802CCD">
        <w:rPr>
          <w:rFonts w:ascii="Arial" w:hAnsi="Arial" w:cs="Arial"/>
        </w:rPr>
        <w:t xml:space="preserve">The Investment Manager(s) are designated external entities with discretion to purchase or sell, in the University's name, the specific securities that will be used to meet investment objectives. </w:t>
      </w:r>
      <w:r w:rsidRPr="00802CCD">
        <w:rPr>
          <w:rFonts w:ascii="Arial" w:hAnsi="Arial" w:cs="Arial"/>
        </w:rPr>
        <w:br/>
      </w:r>
    </w:p>
    <w:p w14:paraId="2E19E53F" w14:textId="799530FE" w:rsidR="00802CCD" w:rsidRPr="00802CCD" w:rsidRDefault="00802CCD" w:rsidP="00802CCD">
      <w:pPr>
        <w:pStyle w:val="ListParagraph"/>
        <w:numPr>
          <w:ilvl w:val="1"/>
          <w:numId w:val="17"/>
        </w:numPr>
        <w:spacing w:after="5" w:line="250" w:lineRule="auto"/>
        <w:ind w:left="567" w:hanging="582"/>
        <w:rPr>
          <w:rFonts w:ascii="Arial" w:hAnsi="Arial" w:cs="Arial"/>
        </w:rPr>
      </w:pPr>
      <w:r w:rsidRPr="00802CCD">
        <w:rPr>
          <w:rFonts w:ascii="Arial" w:hAnsi="Arial" w:cs="Arial"/>
        </w:rPr>
        <w:t xml:space="preserve">The </w:t>
      </w:r>
      <w:r w:rsidR="00750D8A">
        <w:rPr>
          <w:rFonts w:ascii="Arial" w:hAnsi="Arial" w:cs="Arial"/>
        </w:rPr>
        <w:t>Chief Operating Officer</w:t>
      </w:r>
      <w:r w:rsidRPr="00802CCD">
        <w:rPr>
          <w:rFonts w:ascii="Arial" w:hAnsi="Arial" w:cs="Arial"/>
        </w:rPr>
        <w:t xml:space="preserve"> and the Director of Finance</w:t>
      </w:r>
      <w:r>
        <w:rPr>
          <w:rFonts w:ascii="Arial" w:hAnsi="Arial" w:cs="Arial"/>
        </w:rPr>
        <w:t xml:space="preserve"> and Planning</w:t>
      </w:r>
      <w:r w:rsidRPr="00802CCD">
        <w:rPr>
          <w:rFonts w:ascii="Arial" w:hAnsi="Arial" w:cs="Arial"/>
        </w:rPr>
        <w:t xml:space="preserve"> are authorised to implement the decisions of the </w:t>
      </w:r>
      <w:r>
        <w:rPr>
          <w:rFonts w:ascii="Arial" w:hAnsi="Arial" w:cs="Arial"/>
        </w:rPr>
        <w:t>Investment</w:t>
      </w:r>
      <w:r w:rsidRPr="00802CCD">
        <w:rPr>
          <w:rFonts w:ascii="Arial" w:hAnsi="Arial" w:cs="Arial"/>
        </w:rPr>
        <w:t xml:space="preserve"> committee, through liaison with the Investment Manager(s).   </w:t>
      </w:r>
    </w:p>
    <w:p w14:paraId="327C71E7" w14:textId="77777777" w:rsidR="00802CCD" w:rsidRPr="00802CCD" w:rsidRDefault="00802CCD" w:rsidP="00802CCD">
      <w:pPr>
        <w:spacing w:after="0" w:line="259" w:lineRule="auto"/>
        <w:rPr>
          <w:rFonts w:ascii="Arial" w:hAnsi="Arial" w:cs="Arial"/>
        </w:rPr>
      </w:pPr>
      <w:r w:rsidRPr="00802CCD">
        <w:rPr>
          <w:rFonts w:ascii="Arial" w:hAnsi="Arial" w:cs="Arial"/>
        </w:rPr>
        <w:t xml:space="preserve"> </w:t>
      </w:r>
    </w:p>
    <w:p w14:paraId="6B2A7535" w14:textId="77777777" w:rsidR="00802CCD" w:rsidRPr="00802CCD" w:rsidRDefault="00802CCD" w:rsidP="00802CCD">
      <w:pPr>
        <w:spacing w:after="0" w:line="259" w:lineRule="auto"/>
        <w:rPr>
          <w:rFonts w:ascii="Arial" w:hAnsi="Arial" w:cs="Arial"/>
        </w:rPr>
      </w:pPr>
      <w:r w:rsidRPr="00802CCD">
        <w:rPr>
          <w:rFonts w:ascii="Arial" w:hAnsi="Arial" w:cs="Arial"/>
        </w:rPr>
        <w:t xml:space="preserve"> </w:t>
      </w:r>
    </w:p>
    <w:p w14:paraId="56DF62FC" w14:textId="77777777" w:rsidR="00802CCD" w:rsidRPr="00802CCD" w:rsidRDefault="00802CCD" w:rsidP="00802CCD">
      <w:pPr>
        <w:pStyle w:val="Heading2"/>
        <w:ind w:left="130" w:right="49"/>
        <w:rPr>
          <w:sz w:val="22"/>
        </w:rPr>
      </w:pPr>
      <w:r w:rsidRPr="00802CCD">
        <w:rPr>
          <w:sz w:val="22"/>
        </w:rPr>
        <w:t>RESPONSIBLE INVESTMENT AND ENGAGEMENT</w:t>
      </w:r>
    </w:p>
    <w:p w14:paraId="52E52EFE" w14:textId="77777777" w:rsidR="00802CCD" w:rsidRPr="00802CCD" w:rsidRDefault="00802CCD" w:rsidP="00802CCD">
      <w:pPr>
        <w:spacing w:after="0" w:line="259" w:lineRule="auto"/>
        <w:rPr>
          <w:rFonts w:ascii="Arial" w:hAnsi="Arial" w:cs="Arial"/>
        </w:rPr>
      </w:pPr>
      <w:r w:rsidRPr="00802CCD">
        <w:rPr>
          <w:rFonts w:ascii="Arial" w:hAnsi="Arial" w:cs="Arial"/>
          <w:b/>
        </w:rPr>
        <w:t xml:space="preserve"> </w:t>
      </w:r>
    </w:p>
    <w:p w14:paraId="3D48B11F" w14:textId="77777777" w:rsidR="00802CCD" w:rsidRPr="00802CCD" w:rsidRDefault="00802CCD" w:rsidP="00802CCD">
      <w:pPr>
        <w:spacing w:after="185"/>
        <w:ind w:left="705" w:right="51" w:hanging="720"/>
        <w:rPr>
          <w:rFonts w:ascii="Arial" w:hAnsi="Arial" w:cs="Arial"/>
        </w:rPr>
      </w:pPr>
      <w:r w:rsidRPr="00802CCD">
        <w:rPr>
          <w:rFonts w:ascii="Arial" w:hAnsi="Arial" w:cs="Arial"/>
        </w:rPr>
        <w:t xml:space="preserve">4.1 </w:t>
      </w:r>
      <w:r w:rsidRPr="00802CCD">
        <w:rPr>
          <w:rFonts w:ascii="Arial" w:hAnsi="Arial" w:cs="Arial"/>
        </w:rPr>
        <w:tab/>
        <w:t xml:space="preserve">The University adopts a responsible approach to investment and will take ethical considerations into account in investment decisions whilst ensuring there is no significant detrimental impact on the investment return. </w:t>
      </w:r>
    </w:p>
    <w:p w14:paraId="363D7826" w14:textId="34E23BE9" w:rsidR="00802CCD" w:rsidRPr="00802CCD" w:rsidRDefault="00802CCD" w:rsidP="00FA2420">
      <w:pPr>
        <w:spacing w:after="185"/>
        <w:ind w:left="705" w:right="51" w:hanging="720"/>
        <w:rPr>
          <w:rFonts w:ascii="Arial" w:hAnsi="Arial" w:cs="Arial"/>
        </w:rPr>
      </w:pPr>
      <w:r w:rsidRPr="00802CCD">
        <w:rPr>
          <w:rFonts w:ascii="Arial" w:hAnsi="Arial" w:cs="Arial"/>
        </w:rPr>
        <w:t xml:space="preserve">4.2 </w:t>
      </w:r>
      <w:r w:rsidRPr="00802CCD">
        <w:rPr>
          <w:rFonts w:ascii="Arial" w:hAnsi="Arial" w:cs="Arial"/>
        </w:rPr>
        <w:tab/>
        <w:t xml:space="preserve">Specifically the University will only invest in entities that exhibit best class standards of behaviour and performance in a broad range of environmental, social and governance (ESG) issues, using both positive and negative screening methodologies developed and deployed by its Investment Manager(s). This approach signals the University’s ethical values whilst encouraging entities to adopt high and improving standards of ESG behaviour which the University believe will generate superior long-term financial returns. </w:t>
      </w:r>
    </w:p>
    <w:p w14:paraId="326D7675" w14:textId="23760593" w:rsidR="00802CCD" w:rsidRPr="00802CCD" w:rsidRDefault="00802CCD" w:rsidP="00205DB5">
      <w:pPr>
        <w:ind w:left="698" w:right="51" w:hanging="713"/>
        <w:rPr>
          <w:rFonts w:ascii="Arial" w:hAnsi="Arial" w:cs="Arial"/>
        </w:rPr>
      </w:pPr>
      <w:r w:rsidRPr="00802CCD">
        <w:rPr>
          <w:rFonts w:ascii="Arial" w:hAnsi="Arial" w:cs="Arial"/>
        </w:rPr>
        <w:t>4.</w:t>
      </w:r>
      <w:r w:rsidR="00FA2420">
        <w:rPr>
          <w:rFonts w:ascii="Arial" w:hAnsi="Arial" w:cs="Arial"/>
        </w:rPr>
        <w:t>3</w:t>
      </w:r>
      <w:r w:rsidRPr="00802CCD">
        <w:rPr>
          <w:rFonts w:ascii="Arial" w:hAnsi="Arial" w:cs="Arial"/>
        </w:rPr>
        <w:t xml:space="preserve"> </w:t>
      </w:r>
      <w:r w:rsidRPr="00802CCD">
        <w:rPr>
          <w:rFonts w:ascii="Arial" w:hAnsi="Arial" w:cs="Arial"/>
        </w:rPr>
        <w:tab/>
        <w:t xml:space="preserve">The University will not invest in assets, stock or sectors which conflict with the University’s objectives set out in its Articles of Government. </w:t>
      </w:r>
    </w:p>
    <w:p w14:paraId="691E48E1" w14:textId="5407D9CC" w:rsidR="00802CCD" w:rsidRPr="00802CCD" w:rsidRDefault="00802CCD" w:rsidP="00205DB5">
      <w:pPr>
        <w:ind w:left="698" w:right="51" w:hanging="713"/>
        <w:rPr>
          <w:rFonts w:ascii="Arial" w:hAnsi="Arial" w:cs="Arial"/>
        </w:rPr>
      </w:pPr>
      <w:r w:rsidRPr="00802CCD">
        <w:rPr>
          <w:rFonts w:ascii="Arial" w:hAnsi="Arial" w:cs="Arial"/>
        </w:rPr>
        <w:t>4.</w:t>
      </w:r>
      <w:r w:rsidR="00FA2420">
        <w:rPr>
          <w:rFonts w:ascii="Arial" w:hAnsi="Arial" w:cs="Arial"/>
        </w:rPr>
        <w:t>4</w:t>
      </w:r>
      <w:r w:rsidRPr="00802CCD">
        <w:rPr>
          <w:rFonts w:ascii="Arial" w:hAnsi="Arial" w:cs="Arial"/>
        </w:rPr>
        <w:t xml:space="preserve"> </w:t>
      </w:r>
      <w:r w:rsidRPr="00802CCD">
        <w:rPr>
          <w:rFonts w:ascii="Arial" w:hAnsi="Arial" w:cs="Arial"/>
        </w:rPr>
        <w:tab/>
        <w:t xml:space="preserve">The University’s Investment Manager(s) will proactively engage with entities through direct engagement with companies on particular issues, for example via dialogue with company boards, proactively tabling resolutions and voting at AGMs. Investment Manager(s) are also expected to collaborate with other members of the responsible investment community to leverage impact on critical issues.     </w:t>
      </w:r>
    </w:p>
    <w:p w14:paraId="0647B1F8" w14:textId="533DE2B8" w:rsidR="00802CCD" w:rsidRPr="00802CCD" w:rsidRDefault="00802CCD" w:rsidP="00205DB5">
      <w:pPr>
        <w:ind w:left="698" w:right="51" w:hanging="713"/>
        <w:rPr>
          <w:rFonts w:ascii="Arial" w:hAnsi="Arial" w:cs="Arial"/>
        </w:rPr>
      </w:pPr>
      <w:r w:rsidRPr="00802CCD">
        <w:rPr>
          <w:rFonts w:ascii="Arial" w:hAnsi="Arial" w:cs="Arial"/>
        </w:rPr>
        <w:t>4.</w:t>
      </w:r>
      <w:r w:rsidR="00FA2420">
        <w:rPr>
          <w:rFonts w:ascii="Arial" w:hAnsi="Arial" w:cs="Arial"/>
        </w:rPr>
        <w:t>5</w:t>
      </w:r>
      <w:r w:rsidRPr="00802CCD">
        <w:rPr>
          <w:rFonts w:ascii="Arial" w:hAnsi="Arial" w:cs="Arial"/>
        </w:rPr>
        <w:t xml:space="preserve"> </w:t>
      </w:r>
      <w:r w:rsidRPr="00802CCD">
        <w:rPr>
          <w:rFonts w:ascii="Arial" w:hAnsi="Arial" w:cs="Arial"/>
        </w:rPr>
        <w:tab/>
        <w:t xml:space="preserve">The University will publish a </w:t>
      </w:r>
      <w:r w:rsidR="00B75B1F">
        <w:rPr>
          <w:rFonts w:ascii="Arial" w:hAnsi="Arial" w:cs="Arial"/>
        </w:rPr>
        <w:t xml:space="preserve">separate Responsible Investment Policy and a </w:t>
      </w:r>
      <w:r w:rsidRPr="00802CCD">
        <w:rPr>
          <w:rFonts w:ascii="Arial" w:hAnsi="Arial" w:cs="Arial"/>
        </w:rPr>
        <w:t xml:space="preserve">list of its investments </w:t>
      </w:r>
      <w:r w:rsidR="00B75B1F">
        <w:rPr>
          <w:rFonts w:ascii="Arial" w:hAnsi="Arial" w:cs="Arial"/>
        </w:rPr>
        <w:t xml:space="preserve">(by sector) on its website, in the interests of transparency. The list of investments will be updated at least once a year. </w:t>
      </w:r>
    </w:p>
    <w:p w14:paraId="3744C831" w14:textId="6EFB962B" w:rsidR="00802CCD" w:rsidRDefault="00802CCD" w:rsidP="00EB663A">
      <w:pPr>
        <w:ind w:left="705" w:hanging="720"/>
        <w:rPr>
          <w:rFonts w:ascii="Arial" w:hAnsi="Arial" w:cs="Arial"/>
        </w:rPr>
      </w:pPr>
      <w:r w:rsidRPr="00802CCD">
        <w:rPr>
          <w:rFonts w:ascii="Arial" w:hAnsi="Arial" w:cs="Arial"/>
        </w:rPr>
        <w:t>4.</w:t>
      </w:r>
      <w:r w:rsidR="00FA2420">
        <w:rPr>
          <w:rFonts w:ascii="Arial" w:hAnsi="Arial" w:cs="Arial"/>
        </w:rPr>
        <w:t>6</w:t>
      </w:r>
      <w:r w:rsidRPr="00802CCD">
        <w:rPr>
          <w:rFonts w:ascii="Arial" w:hAnsi="Arial" w:cs="Arial"/>
        </w:rPr>
        <w:t xml:space="preserve"> </w:t>
      </w:r>
      <w:r w:rsidRPr="00802CCD">
        <w:rPr>
          <w:rFonts w:ascii="Arial" w:hAnsi="Arial" w:cs="Arial"/>
        </w:rPr>
        <w:tab/>
        <w:t xml:space="preserve">Each Investment Manager appointed by the University must acknowledge, in writing, its acceptance of responsibility for investing University funds and agree to comply with the requirements of this policy. </w:t>
      </w:r>
    </w:p>
    <w:p w14:paraId="161BDDF6" w14:textId="77777777" w:rsidR="003B6ECD" w:rsidRPr="00802CCD" w:rsidRDefault="003B6ECD" w:rsidP="00EB663A">
      <w:pPr>
        <w:ind w:left="705" w:hanging="720"/>
        <w:rPr>
          <w:rFonts w:ascii="Arial" w:hAnsi="Arial" w:cs="Arial"/>
        </w:rPr>
      </w:pPr>
    </w:p>
    <w:p w14:paraId="64C0C8EE" w14:textId="77777777" w:rsidR="00802CCD" w:rsidRPr="00802CCD" w:rsidRDefault="00802CCD" w:rsidP="00802CCD">
      <w:pPr>
        <w:pStyle w:val="Heading1"/>
        <w:ind w:left="34" w:right="3"/>
        <w:jc w:val="left"/>
        <w:rPr>
          <w:sz w:val="22"/>
        </w:rPr>
      </w:pPr>
      <w:r w:rsidRPr="00802CCD">
        <w:rPr>
          <w:sz w:val="22"/>
        </w:rPr>
        <w:t>ASSET ALLOCATION &amp; VOLATILITY</w:t>
      </w:r>
    </w:p>
    <w:p w14:paraId="52E93717" w14:textId="77777777" w:rsidR="00802CCD" w:rsidRPr="00802CCD" w:rsidRDefault="00802CCD" w:rsidP="00802CCD">
      <w:pPr>
        <w:spacing w:after="0" w:line="259" w:lineRule="auto"/>
        <w:rPr>
          <w:rFonts w:ascii="Arial" w:hAnsi="Arial" w:cs="Arial"/>
        </w:rPr>
      </w:pPr>
      <w:r w:rsidRPr="00802CCD">
        <w:rPr>
          <w:rFonts w:ascii="Arial" w:hAnsi="Arial" w:cs="Arial"/>
        </w:rPr>
        <w:t xml:space="preserve"> </w:t>
      </w:r>
    </w:p>
    <w:p w14:paraId="2AABBE97" w14:textId="25A45205" w:rsidR="00802CCD" w:rsidRPr="00802CCD" w:rsidRDefault="00802CCD" w:rsidP="00205DB5">
      <w:pPr>
        <w:ind w:left="705" w:hanging="720"/>
        <w:rPr>
          <w:rFonts w:ascii="Arial" w:hAnsi="Arial" w:cs="Arial"/>
        </w:rPr>
      </w:pPr>
      <w:r w:rsidRPr="00802CCD">
        <w:rPr>
          <w:rFonts w:ascii="Arial" w:hAnsi="Arial" w:cs="Arial"/>
        </w:rPr>
        <w:t>5.1</w:t>
      </w:r>
      <w:r w:rsidRPr="00802CCD">
        <w:rPr>
          <w:rFonts w:ascii="Arial" w:hAnsi="Arial" w:cs="Arial"/>
        </w:rPr>
        <w:tab/>
        <w:t xml:space="preserve">Asset allocation refers to the balance of investments in a portfolio, for example, the mix of investments in cash versus in fixed term bonds or equities. </w:t>
      </w:r>
    </w:p>
    <w:p w14:paraId="441D99B2" w14:textId="7FBCDCD0" w:rsidR="00802CCD" w:rsidRPr="00802CCD" w:rsidRDefault="00802CCD" w:rsidP="00205DB5">
      <w:pPr>
        <w:ind w:left="705" w:hanging="720"/>
        <w:rPr>
          <w:rFonts w:ascii="Arial" w:hAnsi="Arial" w:cs="Arial"/>
        </w:rPr>
      </w:pPr>
      <w:r w:rsidRPr="00802CCD">
        <w:rPr>
          <w:rFonts w:ascii="Arial" w:hAnsi="Arial" w:cs="Arial"/>
        </w:rPr>
        <w:t xml:space="preserve">5.2  </w:t>
      </w:r>
      <w:r w:rsidRPr="00802CCD">
        <w:rPr>
          <w:rFonts w:ascii="Arial" w:hAnsi="Arial" w:cs="Arial"/>
        </w:rPr>
        <w:tab/>
        <w:t>The general policy shall be that the fund shall contain a diversified portfolio of equities, bonds, property and cash, so as to limit the potential exposure to loss of capital.</w:t>
      </w:r>
    </w:p>
    <w:p w14:paraId="54440202" w14:textId="7603ABAE" w:rsidR="00802CCD" w:rsidRPr="00802CCD" w:rsidRDefault="00802CCD" w:rsidP="00205DB5">
      <w:pPr>
        <w:ind w:left="705" w:hanging="720"/>
        <w:rPr>
          <w:rFonts w:ascii="Arial" w:hAnsi="Arial" w:cs="Arial"/>
        </w:rPr>
      </w:pPr>
      <w:r w:rsidRPr="00802CCD">
        <w:rPr>
          <w:rFonts w:ascii="Arial" w:hAnsi="Arial" w:cs="Arial"/>
        </w:rPr>
        <w:t xml:space="preserve">5.3 </w:t>
      </w:r>
      <w:r w:rsidRPr="00802CCD">
        <w:rPr>
          <w:rFonts w:ascii="Arial" w:hAnsi="Arial" w:cs="Arial"/>
        </w:rPr>
        <w:tab/>
        <w:t xml:space="preserve">The </w:t>
      </w:r>
      <w:r>
        <w:rPr>
          <w:rFonts w:ascii="Arial" w:hAnsi="Arial" w:cs="Arial"/>
        </w:rPr>
        <w:t>Investment</w:t>
      </w:r>
      <w:r w:rsidRPr="00802CCD">
        <w:rPr>
          <w:rFonts w:ascii="Arial" w:hAnsi="Arial" w:cs="Arial"/>
        </w:rPr>
        <w:t xml:space="preserve"> Committee shall periodically review the allocation between asset classes in the light of prevailing market conditions and University preference.  </w:t>
      </w:r>
    </w:p>
    <w:p w14:paraId="500DD7A6" w14:textId="4061F7A4" w:rsidR="00802CCD" w:rsidRDefault="00802CCD" w:rsidP="00802CCD">
      <w:pPr>
        <w:ind w:left="705" w:hanging="720"/>
        <w:rPr>
          <w:rFonts w:ascii="Arial" w:hAnsi="Arial" w:cs="Arial"/>
        </w:rPr>
      </w:pPr>
      <w:r w:rsidRPr="00802CCD">
        <w:rPr>
          <w:rFonts w:ascii="Arial" w:hAnsi="Arial" w:cs="Arial"/>
        </w:rPr>
        <w:t>5.4</w:t>
      </w:r>
      <w:r w:rsidRPr="00802CCD">
        <w:rPr>
          <w:rFonts w:ascii="Arial" w:hAnsi="Arial" w:cs="Arial"/>
        </w:rPr>
        <w:tab/>
        <w:t>In order to achieve its objectives, it is understood that investment returns will experience volatility and fluctuations in market value. The University will tolerate volatility as measured against the volatility of a comparable market index in each asset class and a composite index based on the strategic allocation to each asset. The indices used as a measure of an Investment Manager(s)' performance will also be used to benchmark what is allowable volatility (risk).</w:t>
      </w:r>
    </w:p>
    <w:p w14:paraId="3E16DBBD" w14:textId="77DE959A" w:rsidR="00802CCD" w:rsidRPr="00802CCD" w:rsidRDefault="00802CCD" w:rsidP="00EB663A">
      <w:pPr>
        <w:ind w:left="705" w:hanging="720"/>
        <w:rPr>
          <w:rFonts w:ascii="Arial" w:hAnsi="Arial" w:cs="Arial"/>
        </w:rPr>
      </w:pPr>
      <w:r>
        <w:rPr>
          <w:rFonts w:ascii="Arial" w:hAnsi="Arial" w:cs="Arial"/>
        </w:rPr>
        <w:t>5.5</w:t>
      </w:r>
      <w:r>
        <w:rPr>
          <w:rFonts w:ascii="Arial" w:hAnsi="Arial" w:cs="Arial"/>
        </w:rPr>
        <w:tab/>
        <w:t>The University will seek an annual target return on investments of CPI + 4%.</w:t>
      </w:r>
    </w:p>
    <w:p w14:paraId="0DF8B2BC" w14:textId="77777777" w:rsidR="00802CCD" w:rsidRPr="00802CCD" w:rsidRDefault="00802CCD" w:rsidP="00802CCD">
      <w:pPr>
        <w:spacing w:after="0" w:line="259" w:lineRule="auto"/>
        <w:ind w:left="89"/>
        <w:jc w:val="center"/>
        <w:rPr>
          <w:rFonts w:ascii="Arial" w:hAnsi="Arial" w:cs="Arial"/>
        </w:rPr>
      </w:pPr>
      <w:r w:rsidRPr="00802CCD">
        <w:rPr>
          <w:rFonts w:ascii="Arial" w:hAnsi="Arial" w:cs="Arial"/>
        </w:rPr>
        <w:t xml:space="preserve"> </w:t>
      </w:r>
    </w:p>
    <w:p w14:paraId="18ED9E4E" w14:textId="77777777" w:rsidR="00802CCD" w:rsidRDefault="00802CCD" w:rsidP="00802CCD">
      <w:pPr>
        <w:pStyle w:val="Heading2"/>
        <w:spacing w:after="266"/>
        <w:ind w:right="2316"/>
        <w:rPr>
          <w:sz w:val="22"/>
        </w:rPr>
      </w:pPr>
      <w:r w:rsidRPr="00802CCD">
        <w:rPr>
          <w:sz w:val="22"/>
        </w:rPr>
        <w:t xml:space="preserve">REPORTING AND OVERSIGHT  </w:t>
      </w:r>
    </w:p>
    <w:p w14:paraId="6AAB1624" w14:textId="77777777" w:rsidR="003B6ECD" w:rsidRPr="00957BB7" w:rsidRDefault="003B6ECD" w:rsidP="003B6ECD">
      <w:pPr>
        <w:spacing w:after="160" w:line="259" w:lineRule="auto"/>
        <w:ind w:left="720" w:hanging="720"/>
        <w:rPr>
          <w:rFonts w:ascii="Arial" w:hAnsi="Arial" w:cs="Arial"/>
        </w:rPr>
      </w:pPr>
      <w:r w:rsidRPr="00957BB7">
        <w:rPr>
          <w:rFonts w:ascii="Arial" w:hAnsi="Arial" w:cs="Arial"/>
        </w:rPr>
        <w:t>6.1</w:t>
      </w:r>
      <w:r w:rsidRPr="00957BB7">
        <w:rPr>
          <w:rFonts w:ascii="Arial" w:hAnsi="Arial" w:cs="Arial"/>
        </w:rPr>
        <w:tab/>
        <w:t xml:space="preserve">An Investment Report will be obtained from the Investment Manager(s) and submitted to the Investment Committee at each of its meetings. </w:t>
      </w:r>
    </w:p>
    <w:p w14:paraId="407D4DC7" w14:textId="77777777" w:rsidR="003B6ECD" w:rsidRPr="00957BB7" w:rsidRDefault="003B6ECD" w:rsidP="003B6ECD">
      <w:pPr>
        <w:spacing w:after="160" w:line="259" w:lineRule="auto"/>
        <w:rPr>
          <w:rFonts w:ascii="Arial" w:hAnsi="Arial" w:cs="Arial"/>
        </w:rPr>
      </w:pPr>
      <w:r w:rsidRPr="00957BB7">
        <w:rPr>
          <w:rFonts w:ascii="Arial" w:hAnsi="Arial" w:cs="Arial"/>
        </w:rPr>
        <w:t xml:space="preserve">6.2       The Investment Report will contain three basic elements: </w:t>
      </w:r>
    </w:p>
    <w:p w14:paraId="221D97F2" w14:textId="77777777" w:rsidR="003B6ECD" w:rsidRPr="00957BB7" w:rsidRDefault="003B6ECD" w:rsidP="003B6ECD">
      <w:pPr>
        <w:numPr>
          <w:ilvl w:val="0"/>
          <w:numId w:val="15"/>
        </w:numPr>
        <w:spacing w:after="160" w:line="259" w:lineRule="auto"/>
        <w:ind w:left="1985" w:hanging="545"/>
        <w:rPr>
          <w:rFonts w:ascii="Arial" w:hAnsi="Arial" w:cs="Arial"/>
        </w:rPr>
      </w:pPr>
      <w:r w:rsidRPr="00957BB7">
        <w:rPr>
          <w:rFonts w:ascii="Arial" w:hAnsi="Arial" w:cs="Arial"/>
        </w:rPr>
        <w:t xml:space="preserve">Asset Allocation Information - Asset values and asset class percentages versus target allocation and ranges. </w:t>
      </w:r>
    </w:p>
    <w:p w14:paraId="645AF1C8" w14:textId="77777777" w:rsidR="003B6ECD" w:rsidRPr="00957BB7" w:rsidRDefault="003B6ECD" w:rsidP="003B6ECD">
      <w:pPr>
        <w:numPr>
          <w:ilvl w:val="0"/>
          <w:numId w:val="15"/>
        </w:numPr>
        <w:spacing w:after="160" w:line="259" w:lineRule="auto"/>
        <w:ind w:left="1985" w:hanging="545"/>
        <w:rPr>
          <w:rFonts w:ascii="Arial" w:hAnsi="Arial" w:cs="Arial"/>
        </w:rPr>
      </w:pPr>
      <w:r w:rsidRPr="00957BB7">
        <w:rPr>
          <w:rFonts w:ascii="Arial" w:hAnsi="Arial" w:cs="Arial"/>
        </w:rPr>
        <w:t xml:space="preserve">Investment Performance - Investment returns versus performance benchmarks. </w:t>
      </w:r>
    </w:p>
    <w:p w14:paraId="0FFA81D1" w14:textId="77777777" w:rsidR="003B6ECD" w:rsidRPr="00957BB7" w:rsidRDefault="003B6ECD" w:rsidP="003B6ECD">
      <w:pPr>
        <w:numPr>
          <w:ilvl w:val="0"/>
          <w:numId w:val="15"/>
        </w:numPr>
        <w:spacing w:after="160" w:line="259" w:lineRule="auto"/>
        <w:ind w:left="1985" w:hanging="545"/>
        <w:rPr>
          <w:rFonts w:ascii="Arial" w:hAnsi="Arial" w:cs="Arial"/>
        </w:rPr>
      </w:pPr>
      <w:r w:rsidRPr="00957BB7">
        <w:rPr>
          <w:rFonts w:ascii="Arial" w:hAnsi="Arial" w:cs="Arial"/>
        </w:rPr>
        <w:t xml:space="preserve">Policy Compliance - A statement that each portfolio conforms to this policy or identification where variances occur. </w:t>
      </w:r>
    </w:p>
    <w:p w14:paraId="1852E194" w14:textId="7047FF8C" w:rsidR="003B6ECD" w:rsidRPr="00957BB7" w:rsidRDefault="003B6ECD" w:rsidP="003B6ECD">
      <w:pPr>
        <w:spacing w:after="160"/>
        <w:ind w:left="720" w:hanging="660"/>
        <w:rPr>
          <w:rFonts w:ascii="Arial" w:hAnsi="Arial" w:cs="Arial"/>
        </w:rPr>
      </w:pPr>
      <w:r w:rsidRPr="00957BB7">
        <w:rPr>
          <w:rFonts w:ascii="Arial" w:hAnsi="Arial" w:cs="Arial"/>
        </w:rPr>
        <w:t>6.3</w:t>
      </w:r>
      <w:r w:rsidRPr="00957BB7">
        <w:rPr>
          <w:rFonts w:ascii="Arial" w:hAnsi="Arial" w:cs="Arial"/>
        </w:rPr>
        <w:tab/>
        <w:t xml:space="preserve">The University intends to evaluate the portfolio(s) over at least a three year period, but reserves the right to terminate its agreement with an Investment Manager for any reason including the following: </w:t>
      </w:r>
    </w:p>
    <w:p w14:paraId="3EA4BC83" w14:textId="77777777" w:rsidR="003B6ECD" w:rsidRPr="00957BB7" w:rsidRDefault="003B6ECD" w:rsidP="003B6ECD">
      <w:pPr>
        <w:numPr>
          <w:ilvl w:val="0"/>
          <w:numId w:val="14"/>
        </w:numPr>
        <w:spacing w:after="160" w:line="259" w:lineRule="auto"/>
        <w:ind w:left="1843" w:hanging="567"/>
        <w:rPr>
          <w:rFonts w:ascii="Arial" w:hAnsi="Arial" w:cs="Arial"/>
        </w:rPr>
      </w:pPr>
      <w:r w:rsidRPr="00957BB7">
        <w:rPr>
          <w:rFonts w:ascii="Arial" w:hAnsi="Arial" w:cs="Arial"/>
        </w:rPr>
        <w:t xml:space="preserve">Investment performance that is significantly less than anticipated given the discipline employed and the risk parameters established, or unacceptable justification of poor results.  </w:t>
      </w:r>
    </w:p>
    <w:p w14:paraId="50E0CDF2" w14:textId="77777777" w:rsidR="003B6ECD" w:rsidRPr="00957BB7" w:rsidRDefault="003B6ECD" w:rsidP="003B6ECD">
      <w:pPr>
        <w:numPr>
          <w:ilvl w:val="0"/>
          <w:numId w:val="14"/>
        </w:numPr>
        <w:spacing w:after="160" w:line="259" w:lineRule="auto"/>
        <w:ind w:left="1843" w:hanging="567"/>
        <w:rPr>
          <w:rFonts w:ascii="Arial" w:hAnsi="Arial" w:cs="Arial"/>
        </w:rPr>
      </w:pPr>
      <w:r w:rsidRPr="00957BB7">
        <w:rPr>
          <w:rFonts w:ascii="Arial" w:hAnsi="Arial" w:cs="Arial"/>
        </w:rPr>
        <w:t xml:space="preserve">Failure to adhere to any aspect of this investment policy, including communication and reporting requirements.  </w:t>
      </w:r>
    </w:p>
    <w:p w14:paraId="5B49AD61" w14:textId="77777777" w:rsidR="003B6ECD" w:rsidRPr="00957BB7" w:rsidRDefault="003B6ECD" w:rsidP="003B6ECD">
      <w:pPr>
        <w:numPr>
          <w:ilvl w:val="0"/>
          <w:numId w:val="14"/>
        </w:numPr>
        <w:spacing w:after="160" w:line="259" w:lineRule="auto"/>
        <w:ind w:left="1843" w:hanging="567"/>
        <w:rPr>
          <w:rFonts w:ascii="Arial" w:hAnsi="Arial" w:cs="Arial"/>
        </w:rPr>
      </w:pPr>
      <w:r w:rsidRPr="00957BB7">
        <w:rPr>
          <w:rFonts w:ascii="Arial" w:hAnsi="Arial" w:cs="Arial"/>
        </w:rPr>
        <w:t xml:space="preserve">Significant qualitative changes to the investment management organisation.  </w:t>
      </w:r>
    </w:p>
    <w:p w14:paraId="6E6BCD09" w14:textId="77777777" w:rsidR="003B6ECD" w:rsidRDefault="003B6ECD" w:rsidP="003B6ECD"/>
    <w:sectPr w:rsidR="003B6ECD" w:rsidSect="00963938">
      <w:headerReference w:type="default" r:id="rId9"/>
      <w:footerReference w:type="default" r:id="rId10"/>
      <w:pgSz w:w="11907" w:h="16839" w:code="9"/>
      <w:pgMar w:top="1440" w:right="1440" w:bottom="1560" w:left="1440" w:header="708" w:footer="6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F8C8" w14:textId="77777777" w:rsidR="00DC4490" w:rsidRDefault="00DC4490" w:rsidP="00EE0B85">
      <w:pPr>
        <w:spacing w:after="0" w:line="240" w:lineRule="auto"/>
      </w:pPr>
      <w:r>
        <w:separator/>
      </w:r>
    </w:p>
  </w:endnote>
  <w:endnote w:type="continuationSeparator" w:id="0">
    <w:p w14:paraId="7FA26BD7" w14:textId="77777777" w:rsidR="00DC4490" w:rsidRDefault="00DC4490" w:rsidP="00EE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A2056" w14:textId="44186433" w:rsidR="00CC1AD9" w:rsidRPr="00BE4281" w:rsidRDefault="00CC1AD9">
    <w:pPr>
      <w:pStyle w:val="Footer"/>
      <w:jc w:val="center"/>
      <w:rPr>
        <w:rFonts w:ascii="Arial" w:hAnsi="Arial" w:cs="Arial"/>
        <w:sz w:val="16"/>
      </w:rPr>
    </w:pPr>
  </w:p>
  <w:p w14:paraId="5318358C" w14:textId="77777777" w:rsidR="00CC1AD9" w:rsidRDefault="00CC1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D1832" w14:textId="77777777" w:rsidR="00DC4490" w:rsidRDefault="00DC4490" w:rsidP="00EE0B85">
      <w:pPr>
        <w:spacing w:after="0" w:line="240" w:lineRule="auto"/>
      </w:pPr>
      <w:r>
        <w:separator/>
      </w:r>
    </w:p>
  </w:footnote>
  <w:footnote w:type="continuationSeparator" w:id="0">
    <w:p w14:paraId="51C901F9" w14:textId="77777777" w:rsidR="00DC4490" w:rsidRDefault="00DC4490" w:rsidP="00EE0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7E7AD" w14:textId="06CDBC9B" w:rsidR="00A811F3" w:rsidRPr="00EE0B85" w:rsidRDefault="00A811F3">
    <w:pPr>
      <w:pStyle w:val="Header"/>
      <w:rPr>
        <w:b/>
      </w:rPr>
    </w:pPr>
  </w:p>
  <w:p w14:paraId="282FB7D5" w14:textId="77777777" w:rsidR="00A811F3" w:rsidRPr="00EE0B85" w:rsidRDefault="00A811F3">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A66"/>
    <w:multiLevelType w:val="hybridMultilevel"/>
    <w:tmpl w:val="AEEE8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2675A"/>
    <w:multiLevelType w:val="hybridMultilevel"/>
    <w:tmpl w:val="8FAAF402"/>
    <w:lvl w:ilvl="0" w:tplc="83969CF6">
      <w:start w:val="1"/>
      <w:numFmt w:val="lowerRoman"/>
      <w:lvlText w:val="%1."/>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FC6476">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D8DAF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2C8B8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2605F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A8EE5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08E360">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FACE5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820CE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100514"/>
    <w:multiLevelType w:val="hybridMultilevel"/>
    <w:tmpl w:val="E2324E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CD1698E"/>
    <w:multiLevelType w:val="hybridMultilevel"/>
    <w:tmpl w:val="73F88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026F0"/>
    <w:multiLevelType w:val="multilevel"/>
    <w:tmpl w:val="FC06F87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2AE5883"/>
    <w:multiLevelType w:val="multilevel"/>
    <w:tmpl w:val="F85C9080"/>
    <w:lvl w:ilvl="0">
      <w:start w:val="1"/>
      <w:numFmt w:val="decimal"/>
      <w:lvlText w:val="%1."/>
      <w:lvlJc w:val="left"/>
      <w:pPr>
        <w:ind w:left="720" w:hanging="360"/>
      </w:pPr>
      <w:rPr>
        <w:rFonts w:hint="default"/>
      </w:rPr>
    </w:lvl>
    <w:lvl w:ilvl="1">
      <w:start w:val="1"/>
      <w:numFmt w:val="decimal"/>
      <w:lvlText w:val="1.%2"/>
      <w:lvlJc w:val="left"/>
      <w:pPr>
        <w:ind w:left="1800" w:hanging="360"/>
      </w:pPr>
      <w:rPr>
        <w:rFonts w:hint="default"/>
      </w:rPr>
    </w:lvl>
    <w:lvl w:ilvl="2">
      <w:start w:val="1"/>
      <w:numFmt w:val="decimal"/>
      <w:lvlText w:val="3.%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6" w15:restartNumberingAfterBreak="0">
    <w:nsid w:val="18CF775C"/>
    <w:multiLevelType w:val="hybridMultilevel"/>
    <w:tmpl w:val="9A0EA00C"/>
    <w:lvl w:ilvl="0" w:tplc="72CA209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F4C320">
      <w:start w:val="1"/>
      <w:numFmt w:val="lowerLetter"/>
      <w:lvlText w:val="%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24DEA0">
      <w:start w:val="1"/>
      <w:numFmt w:val="lowerRoman"/>
      <w:lvlRestart w:val="0"/>
      <w:lvlText w:val="(%3)"/>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56DB66">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84FD46">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988F3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0CA4B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2E766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F4DF60">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552A85"/>
    <w:multiLevelType w:val="hybridMultilevel"/>
    <w:tmpl w:val="B25266E0"/>
    <w:lvl w:ilvl="0" w:tplc="4740AF88">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812C7"/>
    <w:multiLevelType w:val="hybridMultilevel"/>
    <w:tmpl w:val="295AB1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43550E9"/>
    <w:multiLevelType w:val="hybridMultilevel"/>
    <w:tmpl w:val="E90C0E22"/>
    <w:lvl w:ilvl="0" w:tplc="235CD28A">
      <w:start w:val="1"/>
      <w:numFmt w:val="lowerRoman"/>
      <w:lvlText w:val="(%1)"/>
      <w:lvlJc w:val="left"/>
      <w:pPr>
        <w:tabs>
          <w:tab w:val="num" w:pos="1069"/>
        </w:tabs>
        <w:ind w:left="1069" w:hanging="709"/>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1F56B4"/>
    <w:multiLevelType w:val="hybridMultilevel"/>
    <w:tmpl w:val="05D29AD6"/>
    <w:lvl w:ilvl="0" w:tplc="9778864C">
      <w:start w:val="5"/>
      <w:numFmt w:val="lowerRoman"/>
      <w:lvlText w:val="%1."/>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58F0C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24412C">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607C4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B40DD2">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747A9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BED7F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B00FD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A2E670">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7655D02"/>
    <w:multiLevelType w:val="hybridMultilevel"/>
    <w:tmpl w:val="A00C6118"/>
    <w:lvl w:ilvl="0" w:tplc="04090001">
      <w:start w:val="1"/>
      <w:numFmt w:val="bullet"/>
      <w:lvlText w:val=""/>
      <w:lvlJc w:val="left"/>
      <w:pPr>
        <w:ind w:left="1832" w:hanging="360"/>
      </w:pPr>
      <w:rPr>
        <w:rFonts w:ascii="Symbol" w:hAnsi="Symbol" w:hint="default"/>
      </w:rPr>
    </w:lvl>
    <w:lvl w:ilvl="1" w:tplc="04090003" w:tentative="1">
      <w:start w:val="1"/>
      <w:numFmt w:val="bullet"/>
      <w:lvlText w:val="o"/>
      <w:lvlJc w:val="left"/>
      <w:pPr>
        <w:ind w:left="2552" w:hanging="360"/>
      </w:pPr>
      <w:rPr>
        <w:rFonts w:ascii="Courier New" w:hAnsi="Courier New" w:cs="Courier New" w:hint="default"/>
      </w:rPr>
    </w:lvl>
    <w:lvl w:ilvl="2" w:tplc="04090005" w:tentative="1">
      <w:start w:val="1"/>
      <w:numFmt w:val="bullet"/>
      <w:lvlText w:val=""/>
      <w:lvlJc w:val="left"/>
      <w:pPr>
        <w:ind w:left="3272" w:hanging="360"/>
      </w:pPr>
      <w:rPr>
        <w:rFonts w:ascii="Wingdings" w:hAnsi="Wingdings" w:hint="default"/>
      </w:rPr>
    </w:lvl>
    <w:lvl w:ilvl="3" w:tplc="04090001" w:tentative="1">
      <w:start w:val="1"/>
      <w:numFmt w:val="bullet"/>
      <w:lvlText w:val=""/>
      <w:lvlJc w:val="left"/>
      <w:pPr>
        <w:ind w:left="3992" w:hanging="360"/>
      </w:pPr>
      <w:rPr>
        <w:rFonts w:ascii="Symbol" w:hAnsi="Symbol" w:hint="default"/>
      </w:rPr>
    </w:lvl>
    <w:lvl w:ilvl="4" w:tplc="04090003" w:tentative="1">
      <w:start w:val="1"/>
      <w:numFmt w:val="bullet"/>
      <w:lvlText w:val="o"/>
      <w:lvlJc w:val="left"/>
      <w:pPr>
        <w:ind w:left="4712" w:hanging="360"/>
      </w:pPr>
      <w:rPr>
        <w:rFonts w:ascii="Courier New" w:hAnsi="Courier New" w:cs="Courier New" w:hint="default"/>
      </w:rPr>
    </w:lvl>
    <w:lvl w:ilvl="5" w:tplc="04090005" w:tentative="1">
      <w:start w:val="1"/>
      <w:numFmt w:val="bullet"/>
      <w:lvlText w:val=""/>
      <w:lvlJc w:val="left"/>
      <w:pPr>
        <w:ind w:left="5432" w:hanging="360"/>
      </w:pPr>
      <w:rPr>
        <w:rFonts w:ascii="Wingdings" w:hAnsi="Wingdings" w:hint="default"/>
      </w:rPr>
    </w:lvl>
    <w:lvl w:ilvl="6" w:tplc="04090001" w:tentative="1">
      <w:start w:val="1"/>
      <w:numFmt w:val="bullet"/>
      <w:lvlText w:val=""/>
      <w:lvlJc w:val="left"/>
      <w:pPr>
        <w:ind w:left="6152" w:hanging="360"/>
      </w:pPr>
      <w:rPr>
        <w:rFonts w:ascii="Symbol" w:hAnsi="Symbol" w:hint="default"/>
      </w:rPr>
    </w:lvl>
    <w:lvl w:ilvl="7" w:tplc="04090003" w:tentative="1">
      <w:start w:val="1"/>
      <w:numFmt w:val="bullet"/>
      <w:lvlText w:val="o"/>
      <w:lvlJc w:val="left"/>
      <w:pPr>
        <w:ind w:left="6872" w:hanging="360"/>
      </w:pPr>
      <w:rPr>
        <w:rFonts w:ascii="Courier New" w:hAnsi="Courier New" w:cs="Courier New" w:hint="default"/>
      </w:rPr>
    </w:lvl>
    <w:lvl w:ilvl="8" w:tplc="04090005" w:tentative="1">
      <w:start w:val="1"/>
      <w:numFmt w:val="bullet"/>
      <w:lvlText w:val=""/>
      <w:lvlJc w:val="left"/>
      <w:pPr>
        <w:ind w:left="7592" w:hanging="360"/>
      </w:pPr>
      <w:rPr>
        <w:rFonts w:ascii="Wingdings" w:hAnsi="Wingdings" w:hint="default"/>
      </w:rPr>
    </w:lvl>
  </w:abstractNum>
  <w:abstractNum w:abstractNumId="12" w15:restartNumberingAfterBreak="0">
    <w:nsid w:val="394E1344"/>
    <w:multiLevelType w:val="hybridMultilevel"/>
    <w:tmpl w:val="B414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57179"/>
    <w:multiLevelType w:val="hybridMultilevel"/>
    <w:tmpl w:val="73F88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809F7"/>
    <w:multiLevelType w:val="hybridMultilevel"/>
    <w:tmpl w:val="019C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F780F"/>
    <w:multiLevelType w:val="hybridMultilevel"/>
    <w:tmpl w:val="5930FE72"/>
    <w:lvl w:ilvl="0" w:tplc="04D0D766">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329CF4">
      <w:start w:val="1"/>
      <w:numFmt w:val="lowerLetter"/>
      <w:lvlText w:val="%2"/>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CAAEFC">
      <w:start w:val="1"/>
      <w:numFmt w:val="lowerRoman"/>
      <w:lvlText w:val="%3"/>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56B832">
      <w:start w:val="1"/>
      <w:numFmt w:val="decimal"/>
      <w:lvlText w:val="%4"/>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5E060E">
      <w:start w:val="1"/>
      <w:numFmt w:val="lowerLetter"/>
      <w:lvlText w:val="%5"/>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AEAD58">
      <w:start w:val="1"/>
      <w:numFmt w:val="lowerRoman"/>
      <w:lvlText w:val="%6"/>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32D20E">
      <w:start w:val="1"/>
      <w:numFmt w:val="decimal"/>
      <w:lvlText w:val="%7"/>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2AC4C4">
      <w:start w:val="1"/>
      <w:numFmt w:val="lowerLetter"/>
      <w:lvlText w:val="%8"/>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822F54">
      <w:start w:val="1"/>
      <w:numFmt w:val="lowerRoman"/>
      <w:lvlText w:val="%9"/>
      <w:lvlJc w:val="left"/>
      <w:pPr>
        <w:ind w:left="6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7D0813"/>
    <w:multiLevelType w:val="hybridMultilevel"/>
    <w:tmpl w:val="E71E1D2A"/>
    <w:lvl w:ilvl="0" w:tplc="42C4A5E0">
      <w:start w:val="1"/>
      <w:numFmt w:val="decimal"/>
      <w:lvlText w:val="2.%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B252F9"/>
    <w:multiLevelType w:val="hybridMultilevel"/>
    <w:tmpl w:val="B34ABF56"/>
    <w:lvl w:ilvl="0" w:tplc="F094F190">
      <w:start w:val="1"/>
      <w:numFmt w:val="bullet"/>
      <w:lvlText w:val="•"/>
      <w:lvlJc w:val="left"/>
      <w:pPr>
        <w:ind w:left="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290A1AA">
      <w:start w:val="1"/>
      <w:numFmt w:val="bullet"/>
      <w:lvlText w:val="o"/>
      <w:lvlJc w:val="left"/>
      <w:pPr>
        <w:ind w:left="15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F2262EE">
      <w:start w:val="1"/>
      <w:numFmt w:val="bullet"/>
      <w:lvlText w:val="▪"/>
      <w:lvlJc w:val="left"/>
      <w:pPr>
        <w:ind w:left="22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5BEC688">
      <w:start w:val="1"/>
      <w:numFmt w:val="bullet"/>
      <w:lvlText w:val="•"/>
      <w:lvlJc w:val="left"/>
      <w:pPr>
        <w:ind w:left="29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C287944">
      <w:start w:val="1"/>
      <w:numFmt w:val="bullet"/>
      <w:lvlText w:val="o"/>
      <w:lvlJc w:val="left"/>
      <w:pPr>
        <w:ind w:left="37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A2805D4">
      <w:start w:val="1"/>
      <w:numFmt w:val="bullet"/>
      <w:lvlText w:val="▪"/>
      <w:lvlJc w:val="left"/>
      <w:pPr>
        <w:ind w:left="44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9D0672C">
      <w:start w:val="1"/>
      <w:numFmt w:val="bullet"/>
      <w:lvlText w:val="•"/>
      <w:lvlJc w:val="left"/>
      <w:pPr>
        <w:ind w:left="51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6FCE81A">
      <w:start w:val="1"/>
      <w:numFmt w:val="bullet"/>
      <w:lvlText w:val="o"/>
      <w:lvlJc w:val="left"/>
      <w:pPr>
        <w:ind w:left="58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7A8EAA4">
      <w:start w:val="1"/>
      <w:numFmt w:val="bullet"/>
      <w:lvlText w:val="▪"/>
      <w:lvlJc w:val="left"/>
      <w:pPr>
        <w:ind w:left="65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4C0A6050"/>
    <w:multiLevelType w:val="hybridMultilevel"/>
    <w:tmpl w:val="9F8C526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1">
      <w:start w:val="1"/>
      <w:numFmt w:val="bullet"/>
      <w:lvlText w:val=""/>
      <w:lvlJc w:val="left"/>
      <w:pPr>
        <w:ind w:left="4309" w:hanging="360"/>
      </w:pPr>
      <w:rPr>
        <w:rFonts w:ascii="Symbol" w:hAnsi="Symbo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2F95C25"/>
    <w:multiLevelType w:val="hybridMultilevel"/>
    <w:tmpl w:val="9B34A6F6"/>
    <w:lvl w:ilvl="0" w:tplc="D618D66A">
      <w:start w:val="1"/>
      <w:numFmt w:val="decimal"/>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0CB826">
      <w:start w:val="1"/>
      <w:numFmt w:val="lowerLetter"/>
      <w:lvlText w:val="%2"/>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78CC14">
      <w:start w:val="1"/>
      <w:numFmt w:val="lowerRoman"/>
      <w:lvlText w:val="%3"/>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FC97FE">
      <w:start w:val="1"/>
      <w:numFmt w:val="decimal"/>
      <w:lvlText w:val="%4"/>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F66A98">
      <w:start w:val="1"/>
      <w:numFmt w:val="lowerLetter"/>
      <w:lvlText w:val="%5"/>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12A028">
      <w:start w:val="1"/>
      <w:numFmt w:val="lowerRoman"/>
      <w:lvlText w:val="%6"/>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DC26DE">
      <w:start w:val="1"/>
      <w:numFmt w:val="decimal"/>
      <w:lvlText w:val="%7"/>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EE9800">
      <w:start w:val="1"/>
      <w:numFmt w:val="lowerLetter"/>
      <w:lvlText w:val="%8"/>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94645C">
      <w:start w:val="1"/>
      <w:numFmt w:val="lowerRoman"/>
      <w:lvlText w:val="%9"/>
      <w:lvlJc w:val="left"/>
      <w:pPr>
        <w:ind w:left="7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41A0FF2"/>
    <w:multiLevelType w:val="hybridMultilevel"/>
    <w:tmpl w:val="02828DBA"/>
    <w:lvl w:ilvl="0" w:tplc="42C4A5E0">
      <w:start w:val="1"/>
      <w:numFmt w:val="decimal"/>
      <w:lvlText w:val="2.%1"/>
      <w:lvlJc w:val="left"/>
      <w:pPr>
        <w:tabs>
          <w:tab w:val="num" w:pos="720"/>
        </w:tabs>
        <w:ind w:left="720" w:hanging="360"/>
      </w:pPr>
      <w:rPr>
        <w:rFonts w:hint="default"/>
      </w:rPr>
    </w:lvl>
    <w:lvl w:ilvl="1" w:tplc="C680A824">
      <w:start w:val="1"/>
      <w:numFmt w:val="lowerRoman"/>
      <w:lvlText w:val="(%2)"/>
      <w:lvlJc w:val="left"/>
      <w:pPr>
        <w:tabs>
          <w:tab w:val="num" w:pos="1418"/>
        </w:tabs>
        <w:ind w:left="1418" w:hanging="709"/>
      </w:pPr>
      <w:rPr>
        <w:rFonts w:hint="default"/>
      </w:rPr>
    </w:lvl>
    <w:lvl w:ilvl="2" w:tplc="856CFF1E">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B8C22B5"/>
    <w:multiLevelType w:val="hybridMultilevel"/>
    <w:tmpl w:val="554472EA"/>
    <w:lvl w:ilvl="0" w:tplc="ED080FC0">
      <w:start w:val="1"/>
      <w:numFmt w:val="decimal"/>
      <w:lvlText w:val="%1."/>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78950E">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3083F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E6170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FE0C3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36FE3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34D1E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56B7E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CC4C9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54365462">
    <w:abstractNumId w:val="3"/>
  </w:num>
  <w:num w:numId="2" w16cid:durableId="2055425399">
    <w:abstractNumId w:val="20"/>
  </w:num>
  <w:num w:numId="3" w16cid:durableId="1657416330">
    <w:abstractNumId w:val="7"/>
  </w:num>
  <w:num w:numId="4" w16cid:durableId="175390335">
    <w:abstractNumId w:val="2"/>
  </w:num>
  <w:num w:numId="5" w16cid:durableId="19147294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6013695">
    <w:abstractNumId w:val="0"/>
  </w:num>
  <w:num w:numId="7" w16cid:durableId="1948852429">
    <w:abstractNumId w:val="13"/>
  </w:num>
  <w:num w:numId="8" w16cid:durableId="1998456789">
    <w:abstractNumId w:val="8"/>
  </w:num>
  <w:num w:numId="9" w16cid:durableId="1482504534">
    <w:abstractNumId w:val="14"/>
  </w:num>
  <w:num w:numId="10" w16cid:durableId="441535848">
    <w:abstractNumId w:val="15"/>
  </w:num>
  <w:num w:numId="11" w16cid:durableId="339699572">
    <w:abstractNumId w:val="1"/>
  </w:num>
  <w:num w:numId="12" w16cid:durableId="1260144217">
    <w:abstractNumId w:val="10"/>
  </w:num>
  <w:num w:numId="13" w16cid:durableId="1503546897">
    <w:abstractNumId w:val="6"/>
  </w:num>
  <w:num w:numId="14" w16cid:durableId="918709785">
    <w:abstractNumId w:val="21"/>
  </w:num>
  <w:num w:numId="15" w16cid:durableId="1202864715">
    <w:abstractNumId w:val="19"/>
  </w:num>
  <w:num w:numId="16" w16cid:durableId="748886102">
    <w:abstractNumId w:val="17"/>
  </w:num>
  <w:num w:numId="17" w16cid:durableId="622539047">
    <w:abstractNumId w:val="4"/>
  </w:num>
  <w:num w:numId="18" w16cid:durableId="1654721515">
    <w:abstractNumId w:val="16"/>
  </w:num>
  <w:num w:numId="19" w16cid:durableId="1085150124">
    <w:abstractNumId w:val="9"/>
  </w:num>
  <w:num w:numId="20" w16cid:durableId="1981108379">
    <w:abstractNumId w:val="11"/>
  </w:num>
  <w:num w:numId="21" w16cid:durableId="537664920">
    <w:abstractNumId w:val="5"/>
  </w:num>
  <w:num w:numId="22" w16cid:durableId="139734363">
    <w:abstractNumId w:val="18"/>
  </w:num>
  <w:num w:numId="23" w16cid:durableId="10919750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outline"/>
  <w:zoom w:percent="119"/>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BCF"/>
    <w:rsid w:val="00021BF4"/>
    <w:rsid w:val="000310C0"/>
    <w:rsid w:val="00044FAF"/>
    <w:rsid w:val="00051594"/>
    <w:rsid w:val="000556DE"/>
    <w:rsid w:val="000578F3"/>
    <w:rsid w:val="000657B6"/>
    <w:rsid w:val="000855DE"/>
    <w:rsid w:val="0009172F"/>
    <w:rsid w:val="00091B98"/>
    <w:rsid w:val="000955A4"/>
    <w:rsid w:val="000A2F49"/>
    <w:rsid w:val="000A3EA4"/>
    <w:rsid w:val="000A6B18"/>
    <w:rsid w:val="000B0616"/>
    <w:rsid w:val="000B621C"/>
    <w:rsid w:val="000B7207"/>
    <w:rsid w:val="000B7396"/>
    <w:rsid w:val="000C720F"/>
    <w:rsid w:val="00100B43"/>
    <w:rsid w:val="00104C24"/>
    <w:rsid w:val="00110C6C"/>
    <w:rsid w:val="00112AD3"/>
    <w:rsid w:val="00113612"/>
    <w:rsid w:val="00123907"/>
    <w:rsid w:val="00157721"/>
    <w:rsid w:val="00160437"/>
    <w:rsid w:val="0016155E"/>
    <w:rsid w:val="0018555E"/>
    <w:rsid w:val="001861E0"/>
    <w:rsid w:val="00192FE8"/>
    <w:rsid w:val="00194356"/>
    <w:rsid w:val="00196BBF"/>
    <w:rsid w:val="001A2CE4"/>
    <w:rsid w:val="001B0ACF"/>
    <w:rsid w:val="001B0CEC"/>
    <w:rsid w:val="001B3669"/>
    <w:rsid w:val="001D6392"/>
    <w:rsid w:val="001E0515"/>
    <w:rsid w:val="001E3591"/>
    <w:rsid w:val="001F4B94"/>
    <w:rsid w:val="002049D0"/>
    <w:rsid w:val="00205DB5"/>
    <w:rsid w:val="00213147"/>
    <w:rsid w:val="0021664B"/>
    <w:rsid w:val="002236EB"/>
    <w:rsid w:val="002255A1"/>
    <w:rsid w:val="00232FE0"/>
    <w:rsid w:val="002405D8"/>
    <w:rsid w:val="00247BCF"/>
    <w:rsid w:val="00253893"/>
    <w:rsid w:val="002625A5"/>
    <w:rsid w:val="00262E2F"/>
    <w:rsid w:val="002674C1"/>
    <w:rsid w:val="00282730"/>
    <w:rsid w:val="00284D74"/>
    <w:rsid w:val="00285A6D"/>
    <w:rsid w:val="00290A02"/>
    <w:rsid w:val="00295CAD"/>
    <w:rsid w:val="002A14A8"/>
    <w:rsid w:val="002A1E4D"/>
    <w:rsid w:val="002B03BC"/>
    <w:rsid w:val="002C7F4A"/>
    <w:rsid w:val="002D0C91"/>
    <w:rsid w:val="002D0DEB"/>
    <w:rsid w:val="002D2AC0"/>
    <w:rsid w:val="002E33BC"/>
    <w:rsid w:val="002E586A"/>
    <w:rsid w:val="002F46D5"/>
    <w:rsid w:val="002F6C9F"/>
    <w:rsid w:val="00301D28"/>
    <w:rsid w:val="003030AC"/>
    <w:rsid w:val="00323FED"/>
    <w:rsid w:val="0032524C"/>
    <w:rsid w:val="003273A3"/>
    <w:rsid w:val="003322A6"/>
    <w:rsid w:val="003466CE"/>
    <w:rsid w:val="00353DCE"/>
    <w:rsid w:val="00355DCB"/>
    <w:rsid w:val="003577AF"/>
    <w:rsid w:val="00362350"/>
    <w:rsid w:val="003774E8"/>
    <w:rsid w:val="003807CF"/>
    <w:rsid w:val="003823C3"/>
    <w:rsid w:val="0038729A"/>
    <w:rsid w:val="00396955"/>
    <w:rsid w:val="003A1AA9"/>
    <w:rsid w:val="003B42CF"/>
    <w:rsid w:val="003B6ECD"/>
    <w:rsid w:val="003C0D55"/>
    <w:rsid w:val="003C0DCD"/>
    <w:rsid w:val="003C1E11"/>
    <w:rsid w:val="003E2774"/>
    <w:rsid w:val="003E36ED"/>
    <w:rsid w:val="003F799C"/>
    <w:rsid w:val="00402AD9"/>
    <w:rsid w:val="0040581D"/>
    <w:rsid w:val="004246C2"/>
    <w:rsid w:val="00425E6B"/>
    <w:rsid w:val="00441658"/>
    <w:rsid w:val="00443AFE"/>
    <w:rsid w:val="00444C07"/>
    <w:rsid w:val="00444D48"/>
    <w:rsid w:val="004479E0"/>
    <w:rsid w:val="0045027A"/>
    <w:rsid w:val="0045515B"/>
    <w:rsid w:val="004732BA"/>
    <w:rsid w:val="004865DF"/>
    <w:rsid w:val="00486ED2"/>
    <w:rsid w:val="0049549B"/>
    <w:rsid w:val="004B022A"/>
    <w:rsid w:val="004C018B"/>
    <w:rsid w:val="004C0212"/>
    <w:rsid w:val="004E0241"/>
    <w:rsid w:val="004E12E1"/>
    <w:rsid w:val="004E4ED7"/>
    <w:rsid w:val="004E7031"/>
    <w:rsid w:val="004E77EC"/>
    <w:rsid w:val="00502987"/>
    <w:rsid w:val="005059F2"/>
    <w:rsid w:val="005177DF"/>
    <w:rsid w:val="00524E45"/>
    <w:rsid w:val="0052669F"/>
    <w:rsid w:val="00533A04"/>
    <w:rsid w:val="005340D2"/>
    <w:rsid w:val="005356C9"/>
    <w:rsid w:val="005433EF"/>
    <w:rsid w:val="00543B3A"/>
    <w:rsid w:val="00552080"/>
    <w:rsid w:val="00554570"/>
    <w:rsid w:val="00555541"/>
    <w:rsid w:val="00561B93"/>
    <w:rsid w:val="00585217"/>
    <w:rsid w:val="00597F05"/>
    <w:rsid w:val="005B5A0B"/>
    <w:rsid w:val="005C16DF"/>
    <w:rsid w:val="005C69CC"/>
    <w:rsid w:val="005D4464"/>
    <w:rsid w:val="005E42A0"/>
    <w:rsid w:val="005E4F05"/>
    <w:rsid w:val="00611BFB"/>
    <w:rsid w:val="00613905"/>
    <w:rsid w:val="00613BC7"/>
    <w:rsid w:val="00617785"/>
    <w:rsid w:val="00641316"/>
    <w:rsid w:val="00641D50"/>
    <w:rsid w:val="0064779F"/>
    <w:rsid w:val="00662F76"/>
    <w:rsid w:val="00683495"/>
    <w:rsid w:val="00684516"/>
    <w:rsid w:val="006962BF"/>
    <w:rsid w:val="00696A6E"/>
    <w:rsid w:val="006C6101"/>
    <w:rsid w:val="006D16E1"/>
    <w:rsid w:val="006D4542"/>
    <w:rsid w:val="006E0A5D"/>
    <w:rsid w:val="006F1454"/>
    <w:rsid w:val="006F3000"/>
    <w:rsid w:val="006F4978"/>
    <w:rsid w:val="007172D0"/>
    <w:rsid w:val="00742B69"/>
    <w:rsid w:val="00750D8A"/>
    <w:rsid w:val="0075523C"/>
    <w:rsid w:val="00756DB7"/>
    <w:rsid w:val="007574F1"/>
    <w:rsid w:val="00760732"/>
    <w:rsid w:val="00760AA3"/>
    <w:rsid w:val="00763405"/>
    <w:rsid w:val="007755EF"/>
    <w:rsid w:val="007A4D3C"/>
    <w:rsid w:val="007D10D9"/>
    <w:rsid w:val="007E6D21"/>
    <w:rsid w:val="00802CCD"/>
    <w:rsid w:val="008139D2"/>
    <w:rsid w:val="0083687D"/>
    <w:rsid w:val="00837ACE"/>
    <w:rsid w:val="008479E8"/>
    <w:rsid w:val="00864D35"/>
    <w:rsid w:val="00864E17"/>
    <w:rsid w:val="00872346"/>
    <w:rsid w:val="00875BFB"/>
    <w:rsid w:val="0088459D"/>
    <w:rsid w:val="00884F89"/>
    <w:rsid w:val="008A16EC"/>
    <w:rsid w:val="008A57FF"/>
    <w:rsid w:val="008B799F"/>
    <w:rsid w:val="008B7BCB"/>
    <w:rsid w:val="008C2A3A"/>
    <w:rsid w:val="008C5DD5"/>
    <w:rsid w:val="008F0287"/>
    <w:rsid w:val="008F19D7"/>
    <w:rsid w:val="00910C8F"/>
    <w:rsid w:val="00911DFE"/>
    <w:rsid w:val="009172CA"/>
    <w:rsid w:val="009175A1"/>
    <w:rsid w:val="009220A3"/>
    <w:rsid w:val="00922D24"/>
    <w:rsid w:val="00924912"/>
    <w:rsid w:val="0092719B"/>
    <w:rsid w:val="0093090B"/>
    <w:rsid w:val="00936431"/>
    <w:rsid w:val="00937063"/>
    <w:rsid w:val="00942506"/>
    <w:rsid w:val="00955C38"/>
    <w:rsid w:val="00963938"/>
    <w:rsid w:val="00973E7C"/>
    <w:rsid w:val="009749F5"/>
    <w:rsid w:val="0098298C"/>
    <w:rsid w:val="00994B37"/>
    <w:rsid w:val="009A4ED5"/>
    <w:rsid w:val="009A618B"/>
    <w:rsid w:val="009B2F17"/>
    <w:rsid w:val="009B39B5"/>
    <w:rsid w:val="009C73F1"/>
    <w:rsid w:val="009D2EC4"/>
    <w:rsid w:val="009E606C"/>
    <w:rsid w:val="009F656A"/>
    <w:rsid w:val="00A1532F"/>
    <w:rsid w:val="00A17390"/>
    <w:rsid w:val="00A23CCB"/>
    <w:rsid w:val="00A24594"/>
    <w:rsid w:val="00A3011E"/>
    <w:rsid w:val="00A32637"/>
    <w:rsid w:val="00A366E2"/>
    <w:rsid w:val="00A50C92"/>
    <w:rsid w:val="00A516E7"/>
    <w:rsid w:val="00A56B5B"/>
    <w:rsid w:val="00A642C8"/>
    <w:rsid w:val="00A659A8"/>
    <w:rsid w:val="00A76F07"/>
    <w:rsid w:val="00A811F3"/>
    <w:rsid w:val="00A8457C"/>
    <w:rsid w:val="00AA14DD"/>
    <w:rsid w:val="00AC3CEB"/>
    <w:rsid w:val="00AD6DDB"/>
    <w:rsid w:val="00AE0B57"/>
    <w:rsid w:val="00AE4887"/>
    <w:rsid w:val="00B00419"/>
    <w:rsid w:val="00B0584D"/>
    <w:rsid w:val="00B07C1B"/>
    <w:rsid w:val="00B11C50"/>
    <w:rsid w:val="00B2297E"/>
    <w:rsid w:val="00B40D3D"/>
    <w:rsid w:val="00B5281E"/>
    <w:rsid w:val="00B52E9F"/>
    <w:rsid w:val="00B705EA"/>
    <w:rsid w:val="00B75B1F"/>
    <w:rsid w:val="00B866C4"/>
    <w:rsid w:val="00BB7104"/>
    <w:rsid w:val="00BC2EEE"/>
    <w:rsid w:val="00BC554B"/>
    <w:rsid w:val="00BC78A4"/>
    <w:rsid w:val="00BD0A18"/>
    <w:rsid w:val="00BD4668"/>
    <w:rsid w:val="00BE01C2"/>
    <w:rsid w:val="00BE4281"/>
    <w:rsid w:val="00BE7876"/>
    <w:rsid w:val="00BF286F"/>
    <w:rsid w:val="00BF6F2C"/>
    <w:rsid w:val="00C06B88"/>
    <w:rsid w:val="00C07FC7"/>
    <w:rsid w:val="00C20180"/>
    <w:rsid w:val="00C22698"/>
    <w:rsid w:val="00C31978"/>
    <w:rsid w:val="00C35F44"/>
    <w:rsid w:val="00C504D5"/>
    <w:rsid w:val="00C63394"/>
    <w:rsid w:val="00C8630B"/>
    <w:rsid w:val="00C92FD9"/>
    <w:rsid w:val="00CA0143"/>
    <w:rsid w:val="00CA4DE8"/>
    <w:rsid w:val="00CA6265"/>
    <w:rsid w:val="00CB11D8"/>
    <w:rsid w:val="00CB247D"/>
    <w:rsid w:val="00CC1AD9"/>
    <w:rsid w:val="00CC2D9B"/>
    <w:rsid w:val="00CD1E84"/>
    <w:rsid w:val="00CD2A7D"/>
    <w:rsid w:val="00CE1DDB"/>
    <w:rsid w:val="00D02E6F"/>
    <w:rsid w:val="00D04B33"/>
    <w:rsid w:val="00D11597"/>
    <w:rsid w:val="00D11876"/>
    <w:rsid w:val="00D23775"/>
    <w:rsid w:val="00D2656C"/>
    <w:rsid w:val="00D3160F"/>
    <w:rsid w:val="00D31C4C"/>
    <w:rsid w:val="00D321F8"/>
    <w:rsid w:val="00D54029"/>
    <w:rsid w:val="00D55D78"/>
    <w:rsid w:val="00D70BEB"/>
    <w:rsid w:val="00D7514E"/>
    <w:rsid w:val="00D80872"/>
    <w:rsid w:val="00D80C84"/>
    <w:rsid w:val="00D87D4B"/>
    <w:rsid w:val="00D941F9"/>
    <w:rsid w:val="00D9713A"/>
    <w:rsid w:val="00DA0E9F"/>
    <w:rsid w:val="00DA3724"/>
    <w:rsid w:val="00DA62C0"/>
    <w:rsid w:val="00DC3B0E"/>
    <w:rsid w:val="00DC4428"/>
    <w:rsid w:val="00DC4490"/>
    <w:rsid w:val="00DE1516"/>
    <w:rsid w:val="00DF381E"/>
    <w:rsid w:val="00DF74CC"/>
    <w:rsid w:val="00DF7F0F"/>
    <w:rsid w:val="00E02D4E"/>
    <w:rsid w:val="00E13EAD"/>
    <w:rsid w:val="00E20BEB"/>
    <w:rsid w:val="00E25586"/>
    <w:rsid w:val="00E257DC"/>
    <w:rsid w:val="00E607DD"/>
    <w:rsid w:val="00E60B0F"/>
    <w:rsid w:val="00E61830"/>
    <w:rsid w:val="00E9299E"/>
    <w:rsid w:val="00EB4700"/>
    <w:rsid w:val="00EB663A"/>
    <w:rsid w:val="00EC501C"/>
    <w:rsid w:val="00EE05F8"/>
    <w:rsid w:val="00EE0811"/>
    <w:rsid w:val="00EE0A7C"/>
    <w:rsid w:val="00EE0AC6"/>
    <w:rsid w:val="00EE0B85"/>
    <w:rsid w:val="00EE23B1"/>
    <w:rsid w:val="00EF69A5"/>
    <w:rsid w:val="00EF6C58"/>
    <w:rsid w:val="00F018B8"/>
    <w:rsid w:val="00F14E36"/>
    <w:rsid w:val="00F2455C"/>
    <w:rsid w:val="00F374DC"/>
    <w:rsid w:val="00F44D9C"/>
    <w:rsid w:val="00F6144E"/>
    <w:rsid w:val="00F64AAB"/>
    <w:rsid w:val="00F77E19"/>
    <w:rsid w:val="00F81F61"/>
    <w:rsid w:val="00F96BDE"/>
    <w:rsid w:val="00F97A1D"/>
    <w:rsid w:val="00FA2420"/>
    <w:rsid w:val="00FA3A08"/>
    <w:rsid w:val="00FC1121"/>
    <w:rsid w:val="00FD4315"/>
    <w:rsid w:val="00FD4A51"/>
    <w:rsid w:val="00FD6912"/>
    <w:rsid w:val="00FE462D"/>
    <w:rsid w:val="00FE55C0"/>
    <w:rsid w:val="00FF4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C9C7C"/>
  <w15:docId w15:val="{38F520EF-DC56-4B22-BEA3-20D466A0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B07C1B"/>
    <w:pPr>
      <w:keepNext/>
      <w:keepLines/>
      <w:spacing w:after="0" w:line="259" w:lineRule="auto"/>
      <w:ind w:left="10" w:right="64" w:hanging="10"/>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rsid w:val="00B07C1B"/>
    <w:pPr>
      <w:keepNext/>
      <w:keepLines/>
      <w:spacing w:after="5" w:line="250" w:lineRule="auto"/>
      <w:ind w:left="10" w:right="64"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0D2"/>
    <w:pPr>
      <w:ind w:left="720"/>
      <w:contextualSpacing/>
    </w:pPr>
  </w:style>
  <w:style w:type="paragraph" w:styleId="Header">
    <w:name w:val="header"/>
    <w:basedOn w:val="Normal"/>
    <w:link w:val="HeaderChar"/>
    <w:unhideWhenUsed/>
    <w:rsid w:val="00EE0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B85"/>
  </w:style>
  <w:style w:type="paragraph" w:styleId="Footer">
    <w:name w:val="footer"/>
    <w:basedOn w:val="Normal"/>
    <w:link w:val="FooterChar"/>
    <w:uiPriority w:val="99"/>
    <w:unhideWhenUsed/>
    <w:rsid w:val="00EE0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B85"/>
  </w:style>
  <w:style w:type="paragraph" w:styleId="BalloonText">
    <w:name w:val="Balloon Text"/>
    <w:basedOn w:val="Normal"/>
    <w:link w:val="BalloonTextChar"/>
    <w:uiPriority w:val="99"/>
    <w:semiHidden/>
    <w:unhideWhenUsed/>
    <w:rsid w:val="002B0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3BC"/>
    <w:rPr>
      <w:rFonts w:ascii="Tahoma" w:hAnsi="Tahoma" w:cs="Tahoma"/>
      <w:sz w:val="16"/>
      <w:szCs w:val="16"/>
    </w:rPr>
  </w:style>
  <w:style w:type="character" w:styleId="CommentReference">
    <w:name w:val="annotation reference"/>
    <w:basedOn w:val="DefaultParagraphFont"/>
    <w:uiPriority w:val="99"/>
    <w:semiHidden/>
    <w:unhideWhenUsed/>
    <w:rsid w:val="00D87D4B"/>
    <w:rPr>
      <w:sz w:val="16"/>
      <w:szCs w:val="16"/>
    </w:rPr>
  </w:style>
  <w:style w:type="paragraph" w:styleId="CommentText">
    <w:name w:val="annotation text"/>
    <w:basedOn w:val="Normal"/>
    <w:link w:val="CommentTextChar"/>
    <w:uiPriority w:val="99"/>
    <w:semiHidden/>
    <w:unhideWhenUsed/>
    <w:rsid w:val="00D87D4B"/>
    <w:pPr>
      <w:spacing w:line="240" w:lineRule="auto"/>
    </w:pPr>
    <w:rPr>
      <w:sz w:val="20"/>
      <w:szCs w:val="20"/>
    </w:rPr>
  </w:style>
  <w:style w:type="character" w:customStyle="1" w:styleId="CommentTextChar">
    <w:name w:val="Comment Text Char"/>
    <w:basedOn w:val="DefaultParagraphFont"/>
    <w:link w:val="CommentText"/>
    <w:uiPriority w:val="99"/>
    <w:semiHidden/>
    <w:rsid w:val="00D87D4B"/>
    <w:rPr>
      <w:sz w:val="20"/>
      <w:szCs w:val="20"/>
    </w:rPr>
  </w:style>
  <w:style w:type="paragraph" w:styleId="CommentSubject">
    <w:name w:val="annotation subject"/>
    <w:basedOn w:val="CommentText"/>
    <w:next w:val="CommentText"/>
    <w:link w:val="CommentSubjectChar"/>
    <w:uiPriority w:val="99"/>
    <w:semiHidden/>
    <w:unhideWhenUsed/>
    <w:rsid w:val="00D87D4B"/>
    <w:rPr>
      <w:b/>
      <w:bCs/>
    </w:rPr>
  </w:style>
  <w:style w:type="character" w:customStyle="1" w:styleId="CommentSubjectChar">
    <w:name w:val="Comment Subject Char"/>
    <w:basedOn w:val="CommentTextChar"/>
    <w:link w:val="CommentSubject"/>
    <w:uiPriority w:val="99"/>
    <w:semiHidden/>
    <w:rsid w:val="00D87D4B"/>
    <w:rPr>
      <w:b/>
      <w:bCs/>
      <w:sz w:val="20"/>
      <w:szCs w:val="20"/>
    </w:rPr>
  </w:style>
  <w:style w:type="paragraph" w:styleId="FootnoteText">
    <w:name w:val="footnote text"/>
    <w:basedOn w:val="Normal"/>
    <w:link w:val="FootnoteTextChar"/>
    <w:uiPriority w:val="99"/>
    <w:semiHidden/>
    <w:unhideWhenUsed/>
    <w:rsid w:val="00C86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630B"/>
    <w:rPr>
      <w:sz w:val="20"/>
      <w:szCs w:val="20"/>
    </w:rPr>
  </w:style>
  <w:style w:type="character" w:styleId="FootnoteReference">
    <w:name w:val="footnote reference"/>
    <w:basedOn w:val="DefaultParagraphFont"/>
    <w:uiPriority w:val="99"/>
    <w:semiHidden/>
    <w:unhideWhenUsed/>
    <w:rsid w:val="00C8630B"/>
    <w:rPr>
      <w:vertAlign w:val="superscript"/>
    </w:rPr>
  </w:style>
  <w:style w:type="paragraph" w:styleId="EndnoteText">
    <w:name w:val="endnote text"/>
    <w:basedOn w:val="Normal"/>
    <w:link w:val="EndnoteTextChar"/>
    <w:uiPriority w:val="99"/>
    <w:semiHidden/>
    <w:unhideWhenUsed/>
    <w:rsid w:val="008139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39D2"/>
    <w:rPr>
      <w:sz w:val="20"/>
      <w:szCs w:val="20"/>
    </w:rPr>
  </w:style>
  <w:style w:type="character" w:styleId="EndnoteReference">
    <w:name w:val="endnote reference"/>
    <w:basedOn w:val="DefaultParagraphFont"/>
    <w:uiPriority w:val="99"/>
    <w:semiHidden/>
    <w:unhideWhenUsed/>
    <w:rsid w:val="008139D2"/>
    <w:rPr>
      <w:vertAlign w:val="superscript"/>
    </w:rPr>
  </w:style>
  <w:style w:type="character" w:customStyle="1" w:styleId="Heading1Char">
    <w:name w:val="Heading 1 Char"/>
    <w:basedOn w:val="DefaultParagraphFont"/>
    <w:link w:val="Heading1"/>
    <w:rsid w:val="00B07C1B"/>
    <w:rPr>
      <w:rFonts w:ascii="Arial" w:eastAsia="Arial" w:hAnsi="Arial" w:cs="Arial"/>
      <w:b/>
      <w:color w:val="000000"/>
      <w:sz w:val="24"/>
    </w:rPr>
  </w:style>
  <w:style w:type="character" w:customStyle="1" w:styleId="Heading2Char">
    <w:name w:val="Heading 2 Char"/>
    <w:basedOn w:val="DefaultParagraphFont"/>
    <w:link w:val="Heading2"/>
    <w:rsid w:val="00B07C1B"/>
    <w:rPr>
      <w:rFonts w:ascii="Arial" w:eastAsia="Arial" w:hAnsi="Arial" w:cs="Arial"/>
      <w:b/>
      <w:color w:val="000000"/>
      <w:sz w:val="24"/>
    </w:rPr>
  </w:style>
  <w:style w:type="table" w:customStyle="1" w:styleId="TableGrid">
    <w:name w:val="TableGrid"/>
    <w:rsid w:val="00B07C1B"/>
    <w:pPr>
      <w:spacing w:after="0" w:line="240" w:lineRule="auto"/>
    </w:pPr>
    <w:tblPr>
      <w:tblCellMar>
        <w:top w:w="0" w:type="dxa"/>
        <w:left w:w="0" w:type="dxa"/>
        <w:bottom w:w="0" w:type="dxa"/>
        <w:right w:w="0" w:type="dxa"/>
      </w:tblCellMar>
    </w:tblPr>
  </w:style>
  <w:style w:type="character" w:styleId="PageNumber">
    <w:name w:val="page number"/>
    <w:basedOn w:val="DefaultParagraphFont"/>
    <w:rsid w:val="00B07C1B"/>
  </w:style>
  <w:style w:type="table" w:styleId="TableGrid0">
    <w:name w:val="Table Grid"/>
    <w:basedOn w:val="TableNormal"/>
    <w:rsid w:val="00B07C1B"/>
    <w:pPr>
      <w:spacing w:after="0" w:line="240" w:lineRule="auto"/>
    </w:pPr>
    <w:rPr>
      <w:rFonts w:ascii="Times New Roman" w:eastAsia="Times New Roman" w:hAnsi="Times New Roman" w:cs="Times New Roman"/>
      <w:sz w:val="20"/>
      <w:szCs w:val="20"/>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pter1">
    <w:name w:val="Chapter 1*"/>
    <w:basedOn w:val="Normal"/>
    <w:rsid w:val="00B07C1B"/>
    <w:pPr>
      <w:widowControl w:val="0"/>
      <w:autoSpaceDE w:val="0"/>
      <w:autoSpaceDN w:val="0"/>
      <w:adjustRightInd w:val="0"/>
      <w:spacing w:after="480" w:line="289" w:lineRule="auto"/>
      <w:jc w:val="right"/>
      <w:textAlignment w:val="baseline"/>
    </w:pPr>
    <w:rPr>
      <w:rFonts w:ascii="Arial Narrow" w:eastAsia="Times New Roman" w:hAnsi="Arial Narrow" w:cs="Arial Narrow"/>
      <w:color w:val="000080"/>
      <w:sz w:val="40"/>
      <w:szCs w:val="40"/>
      <w:lang w:val="en-US" w:eastAsia="en-US"/>
    </w:rPr>
  </w:style>
  <w:style w:type="paragraph" w:styleId="Revision">
    <w:name w:val="Revision"/>
    <w:hidden/>
    <w:uiPriority w:val="99"/>
    <w:semiHidden/>
    <w:rsid w:val="00B528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251545">
      <w:bodyDiv w:val="1"/>
      <w:marLeft w:val="0"/>
      <w:marRight w:val="0"/>
      <w:marTop w:val="0"/>
      <w:marBottom w:val="0"/>
      <w:divBdr>
        <w:top w:val="none" w:sz="0" w:space="0" w:color="auto"/>
        <w:left w:val="none" w:sz="0" w:space="0" w:color="auto"/>
        <w:bottom w:val="none" w:sz="0" w:space="0" w:color="auto"/>
        <w:right w:val="none" w:sz="0" w:space="0" w:color="auto"/>
      </w:divBdr>
    </w:div>
    <w:div w:id="174433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03682-CAF5-4749-A746-FEA729338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885</Words>
  <Characters>5234</Characters>
  <Application>Microsoft Office Word</Application>
  <DocSecurity>0</DocSecurity>
  <Lines>180</Lines>
  <Paragraphs>61</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6058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Policy</dc:title>
  <dc:subject/>
  <dc:creator>s.belderbos</dc:creator>
  <cp:keywords/>
  <dc:description/>
  <cp:lastModifiedBy>Rowan Lucas</cp:lastModifiedBy>
  <cp:revision>4</cp:revision>
  <cp:lastPrinted>2016-02-23T14:05:00Z</cp:lastPrinted>
  <dcterms:created xsi:type="dcterms:W3CDTF">2025-02-11T16:40:00Z</dcterms:created>
  <dcterms:modified xsi:type="dcterms:W3CDTF">2025-02-20T11:18:00Z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